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AA08F4" w:rsidRDefault="00AA08F4" w:rsidP="00AA08F4">
      <w:pPr>
        <w:ind w:left="5664"/>
        <w:rPr>
          <w:b/>
          <w:sz w:val="28"/>
          <w:szCs w:val="28"/>
          <w:lang w:val="ky-KG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357C6F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B0FBA">
        <w:rPr>
          <w:sz w:val="28"/>
          <w:szCs w:val="28"/>
        </w:rPr>
        <w:t>2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</w:t>
      </w:r>
      <w:r w:rsidR="00481F7C">
        <w:rPr>
          <w:sz w:val="28"/>
          <w:szCs w:val="28"/>
        </w:rPr>
        <w:t>л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F03830" w:rsidRDefault="0068366E" w:rsidP="00357C6F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ГКНБ: </w:t>
      </w:r>
      <w:r w:rsidR="00F03830">
        <w:rPr>
          <w:b/>
          <w:sz w:val="28"/>
          <w:szCs w:val="28"/>
        </w:rPr>
        <w:t>По факту растраты з</w:t>
      </w:r>
      <w:r w:rsidR="00425EBB">
        <w:rPr>
          <w:b/>
          <w:sz w:val="28"/>
          <w:szCs w:val="28"/>
        </w:rPr>
        <w:t>адержан председатель правления</w:t>
      </w:r>
      <w:r w:rsidR="00F03830">
        <w:rPr>
          <w:b/>
          <w:sz w:val="28"/>
          <w:szCs w:val="28"/>
        </w:rPr>
        <w:t xml:space="preserve"> </w:t>
      </w:r>
    </w:p>
    <w:p w:rsidR="0068366E" w:rsidRDefault="00F03830" w:rsidP="00357C6F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ТНК «</w:t>
      </w:r>
      <w:proofErr w:type="spellStart"/>
      <w:r>
        <w:rPr>
          <w:b/>
          <w:sz w:val="28"/>
          <w:szCs w:val="28"/>
        </w:rPr>
        <w:t>Дастан</w:t>
      </w:r>
      <w:proofErr w:type="spellEnd"/>
      <w:r>
        <w:rPr>
          <w:b/>
          <w:sz w:val="28"/>
          <w:szCs w:val="28"/>
        </w:rPr>
        <w:t>»</w:t>
      </w:r>
    </w:p>
    <w:p w:rsidR="0084630C" w:rsidRDefault="0084630C" w:rsidP="001E2FAC">
      <w:pPr>
        <w:ind w:firstLine="567"/>
        <w:jc w:val="center"/>
        <w:rPr>
          <w:sz w:val="28"/>
          <w:szCs w:val="28"/>
        </w:rPr>
      </w:pPr>
    </w:p>
    <w:p w:rsidR="000B342A" w:rsidRDefault="000B342A" w:rsidP="000B342A">
      <w:pPr>
        <w:pStyle w:val="aa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2018 года ГКНБ 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ранее возбужденного уголовного дела по факту реализации ОАО «ТНК «</w:t>
      </w:r>
      <w:proofErr w:type="spellStart"/>
      <w:r>
        <w:rPr>
          <w:rFonts w:ascii="Times New Roman" w:hAnsi="Times New Roman"/>
          <w:sz w:val="28"/>
          <w:szCs w:val="28"/>
        </w:rPr>
        <w:t>Дастан</w:t>
      </w:r>
      <w:proofErr w:type="spellEnd"/>
      <w:r>
        <w:rPr>
          <w:rFonts w:ascii="Times New Roman" w:hAnsi="Times New Roman"/>
          <w:sz w:val="28"/>
          <w:szCs w:val="28"/>
        </w:rPr>
        <w:t>» 100% акций ОАО «Пансионат «Солнечный берег» по заниженной стоимости, то есть по признакам преступления, предусмотренного ст.171 ч.4 п.п.1,2 (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Присвоение или растрата вверенного имущества</w:t>
      </w:r>
      <w:r>
        <w:rPr>
          <w:rFonts w:ascii="Arial" w:hAnsi="Arial" w:cs="Arial"/>
          <w:color w:val="2B2B2B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</w:rPr>
        <w:t>Уголовного кодекса КР задержан п</w:t>
      </w:r>
      <w:r>
        <w:rPr>
          <w:rFonts w:ascii="Times New Roman" w:hAnsi="Times New Roman" w:cs="Times New Roman"/>
          <w:sz w:val="28"/>
          <w:szCs w:val="28"/>
        </w:rPr>
        <w:t>редседатель правления ОАО «ТНК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Ю.В.</w:t>
      </w:r>
    </w:p>
    <w:p w:rsidR="000B342A" w:rsidRDefault="000B342A" w:rsidP="000B342A">
      <w:pPr>
        <w:pStyle w:val="aa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ОАО «ТНК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владело 100% акций Пансионата «Солнечный берег» на побережье озера Иссык-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уль площадью 11,7 га, которое имело задолженность перед ОАО «ТНК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сумме 24 504 923 сома за произведенный ремонт пансионата.   </w:t>
      </w:r>
    </w:p>
    <w:p w:rsidR="000B342A" w:rsidRDefault="000B342A" w:rsidP="000B342A">
      <w:pPr>
        <w:pStyle w:val="aa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15 февраля 2013 года Ю.В. заключил договор купли-продажи 100% акций Пансионата «Солнечный берег» с гражданином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Э.А. по заниженной стоимости на сумму 47 750 000 сом и соглашение об уступке права требования, согласно которому Э.А. необоснованно было передано право требования указанной задолженности.</w:t>
      </w:r>
    </w:p>
    <w:p w:rsidR="000B342A" w:rsidRDefault="000B342A" w:rsidP="000B342A">
      <w:pPr>
        <w:pStyle w:val="aa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акту аудита Счетной палаты Кыргызской Республики от 10 июля 2018 года в результате заключенных Ю.В. сделок расчетные потери ОАО ТНК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связи с реализацией по заниженной стоимости акций отмеченного пансионата составили 128 379 500 сомов, а также растрачены вверенные активы компании в виде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задолженности пансионата в сумме </w:t>
      </w:r>
      <w:r>
        <w:rPr>
          <w:rFonts w:ascii="Times New Roman" w:hAnsi="Times New Roman" w:cs="Times New Roman"/>
          <w:sz w:val="28"/>
          <w:szCs w:val="28"/>
        </w:rPr>
        <w:t>24 504 923 сома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0B342A" w:rsidRDefault="000B342A" w:rsidP="000B34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Ю.В. </w:t>
      </w:r>
      <w:proofErr w:type="gramStart"/>
      <w:r>
        <w:rPr>
          <w:sz w:val="28"/>
          <w:szCs w:val="28"/>
        </w:rPr>
        <w:t>водворен</w:t>
      </w:r>
      <w:proofErr w:type="gramEnd"/>
      <w:r>
        <w:rPr>
          <w:sz w:val="28"/>
          <w:szCs w:val="28"/>
        </w:rPr>
        <w:t xml:space="preserve"> в ИВС СИЗО ГКНБ КР.</w:t>
      </w:r>
    </w:p>
    <w:p w:rsidR="000B342A" w:rsidRDefault="000B342A" w:rsidP="000B342A">
      <w:pPr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Ведется следствие.</w:t>
      </w:r>
    </w:p>
    <w:p w:rsidR="0084630C" w:rsidRDefault="0084630C" w:rsidP="0084630C">
      <w:pPr>
        <w:spacing w:line="276" w:lineRule="auto"/>
        <w:rPr>
          <w:sz w:val="28"/>
          <w:szCs w:val="28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342A"/>
    <w:rsid w:val="000B742B"/>
    <w:rsid w:val="000C20D4"/>
    <w:rsid w:val="000C314B"/>
    <w:rsid w:val="000D023A"/>
    <w:rsid w:val="000D6A1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62C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3467A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48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25EBB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66A68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0E04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242C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5338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DAB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830"/>
    <w:rsid w:val="00F03A8F"/>
    <w:rsid w:val="00F13F94"/>
    <w:rsid w:val="00F202C1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4211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8</cp:revision>
  <cp:lastPrinted>2018-07-12T09:56:00Z</cp:lastPrinted>
  <dcterms:created xsi:type="dcterms:W3CDTF">2018-07-12T09:19:00Z</dcterms:created>
  <dcterms:modified xsi:type="dcterms:W3CDTF">2018-07-12T11:41:00Z</dcterms:modified>
</cp:coreProperties>
</file>