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400" w:after="400"/>
        <w:ind w:left="1134" w:right="1134" w:hanging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ru-RU"/>
        </w:rPr>
        <w:t>ПРАВИЛА</w:t>
        <w:br/>
        <w:t>рубки особо ценных древесных пород в Кыргызской Республике</w:t>
      </w:r>
    </w:p>
    <w:p>
      <w:pPr>
        <w:pStyle w:val="Normal"/>
        <w:spacing w:lineRule="auto" w:line="276" w:before="200" w:after="200"/>
        <w:ind w:left="1134" w:right="1134" w:hanging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ru-RU"/>
        </w:rPr>
      </w:pPr>
      <w:bookmarkStart w:id="0" w:name="r1"/>
      <w:bookmarkEnd w:id="0"/>
      <w:r>
        <w:rPr>
          <w:rFonts w:eastAsia="Times New Roman" w:cs="Arial" w:ascii="Arial" w:hAnsi="Arial"/>
          <w:b/>
          <w:bCs/>
          <w:sz w:val="24"/>
          <w:szCs w:val="24"/>
          <w:lang w:eastAsia="ru-RU"/>
        </w:rPr>
        <w:t>1. Общие положения</w:t>
      </w:r>
    </w:p>
    <w:p>
      <w:pPr>
        <w:pStyle w:val="Normal"/>
        <w:spacing w:lineRule="auto" w:line="276" w:before="0" w:after="60"/>
        <w:ind w:left="0" w:right="0" w:firstLine="567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1. Правила рубки особо ценных древесных пород в Кыргызской Республике (далее - Правила) определяют порядок рубки на основании заключения государственного органа исполнительной власти, обеспечивающего реализацию функций по проведению единой политики в области охраны окружающей среды (далее - уполномоченный государственный орган).</w:t>
      </w:r>
    </w:p>
    <w:p>
      <w:pPr>
        <w:pStyle w:val="Normal"/>
        <w:spacing w:lineRule="auto" w:line="276" w:before="0" w:after="60"/>
        <w:ind w:left="0" w:right="0" w:firstLine="567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2. Определения, применяемые в настоящих Правилах:</w:t>
      </w:r>
    </w:p>
    <w:p>
      <w:pPr>
        <w:pStyle w:val="Normal"/>
        <w:spacing w:lineRule="auto" w:line="276" w:before="0" w:after="60"/>
        <w:ind w:left="0" w:right="0" w:firstLine="567"/>
        <w:jc w:val="both"/>
        <w:rPr/>
      </w:pPr>
      <w:r>
        <w:rPr>
          <w:rFonts w:eastAsia="Times New Roman" w:cs="Arial" w:ascii="Arial" w:hAnsi="Arial"/>
          <w:sz w:val="20"/>
          <w:szCs w:val="20"/>
          <w:lang w:eastAsia="ru-RU"/>
        </w:rPr>
        <w:t xml:space="preserve">1) </w:t>
      </w:r>
      <w:r>
        <w:rPr>
          <w:rFonts w:eastAsia="Times New Roman" w:cs="Arial" w:ascii="Arial" w:hAnsi="Arial"/>
          <w:b/>
          <w:bCs/>
          <w:sz w:val="20"/>
          <w:szCs w:val="20"/>
          <w:lang w:eastAsia="ru-RU"/>
        </w:rPr>
        <w:t>акт обследования участка</w:t>
      </w:r>
      <w:r>
        <w:rPr>
          <w:rFonts w:eastAsia="Times New Roman" w:cs="Arial" w:ascii="Arial" w:hAnsi="Arial"/>
          <w:sz w:val="20"/>
          <w:szCs w:val="20"/>
          <w:lang w:eastAsia="ru-RU"/>
        </w:rPr>
        <w:t xml:space="preserve"> - документ, который составляется уполномоченным государственным органом по итогам осмотра земельного участка, в который вносятся данные о произрастающих особо ценных древесных породах;</w:t>
      </w:r>
    </w:p>
    <w:p>
      <w:pPr>
        <w:pStyle w:val="Normal"/>
        <w:spacing w:lineRule="auto" w:line="276" w:before="0" w:after="60"/>
        <w:ind w:left="0" w:right="0" w:firstLine="567"/>
        <w:jc w:val="both"/>
        <w:rPr/>
      </w:pPr>
      <w:r>
        <w:rPr>
          <w:rFonts w:eastAsia="Times New Roman" w:cs="Arial" w:ascii="Arial" w:hAnsi="Arial"/>
          <w:sz w:val="20"/>
          <w:szCs w:val="20"/>
          <w:lang w:eastAsia="ru-RU"/>
        </w:rPr>
        <w:t xml:space="preserve">2) </w:t>
      </w:r>
      <w:r>
        <w:rPr>
          <w:rFonts w:eastAsia="Times New Roman" w:cs="Arial" w:ascii="Arial" w:hAnsi="Arial"/>
          <w:b/>
          <w:bCs/>
          <w:sz w:val="20"/>
          <w:szCs w:val="20"/>
          <w:lang w:eastAsia="ru-RU"/>
        </w:rPr>
        <w:t>заключение на допуск к рубке особо ценных древесных пород</w:t>
      </w:r>
      <w:r>
        <w:rPr>
          <w:rFonts w:eastAsia="Times New Roman" w:cs="Arial" w:ascii="Arial" w:hAnsi="Arial"/>
          <w:sz w:val="20"/>
          <w:szCs w:val="20"/>
          <w:lang w:eastAsia="ru-RU"/>
        </w:rPr>
        <w:t xml:space="preserve"> - документ, выдаваемый уполномоченным государственным органом, на основании которого осуществляется рубка особо ценных древесных пород;</w:t>
      </w:r>
    </w:p>
    <w:p>
      <w:pPr>
        <w:pStyle w:val="Normal"/>
        <w:spacing w:lineRule="auto" w:line="276" w:before="0" w:after="60"/>
        <w:ind w:left="0" w:right="0" w:firstLine="567"/>
        <w:jc w:val="both"/>
        <w:rPr/>
      </w:pPr>
      <w:r>
        <w:rPr>
          <w:rFonts w:eastAsia="Times New Roman" w:cs="Arial" w:ascii="Arial" w:hAnsi="Arial"/>
          <w:sz w:val="20"/>
          <w:szCs w:val="20"/>
          <w:lang w:eastAsia="ru-RU"/>
        </w:rPr>
        <w:t xml:space="preserve">3) </w:t>
      </w:r>
      <w:r>
        <w:rPr>
          <w:rFonts w:eastAsia="Times New Roman" w:cs="Arial" w:ascii="Arial" w:hAnsi="Arial"/>
          <w:b/>
          <w:bCs/>
          <w:sz w:val="20"/>
          <w:szCs w:val="20"/>
          <w:lang w:eastAsia="ru-RU"/>
        </w:rPr>
        <w:t>лесоустроительный проект</w:t>
      </w:r>
      <w:r>
        <w:rPr>
          <w:rFonts w:eastAsia="Times New Roman" w:cs="Arial" w:ascii="Arial" w:hAnsi="Arial"/>
          <w:sz w:val="20"/>
          <w:szCs w:val="20"/>
          <w:lang w:eastAsia="ru-RU"/>
        </w:rPr>
        <w:t xml:space="preserve"> - документ, содержащий количественные и качественные характеристики лесных ресурсов с картографическими материалами, который выдается уполномоченным государственным органом;</w:t>
      </w:r>
    </w:p>
    <w:p>
      <w:pPr>
        <w:pStyle w:val="Normal"/>
        <w:spacing w:lineRule="auto" w:line="276" w:before="0" w:after="60"/>
        <w:ind w:left="0" w:right="0" w:firstLine="567"/>
        <w:jc w:val="both"/>
        <w:rPr/>
      </w:pPr>
      <w:r>
        <w:rPr>
          <w:rFonts w:eastAsia="Times New Roman" w:cs="Arial" w:ascii="Arial" w:hAnsi="Arial"/>
          <w:sz w:val="20"/>
          <w:szCs w:val="20"/>
          <w:lang w:eastAsia="ru-RU"/>
        </w:rPr>
        <w:t xml:space="preserve">4) </w:t>
      </w:r>
      <w:r>
        <w:rPr>
          <w:rFonts w:eastAsia="Times New Roman" w:cs="Arial" w:ascii="Arial" w:hAnsi="Arial"/>
          <w:b/>
          <w:bCs/>
          <w:sz w:val="20"/>
          <w:szCs w:val="20"/>
          <w:lang w:eastAsia="ru-RU"/>
        </w:rPr>
        <w:t>перечетная ведомость насаждений</w:t>
      </w:r>
      <w:r>
        <w:rPr>
          <w:rFonts w:eastAsia="Times New Roman" w:cs="Arial" w:ascii="Arial" w:hAnsi="Arial"/>
          <w:sz w:val="20"/>
          <w:szCs w:val="20"/>
          <w:lang w:eastAsia="ru-RU"/>
        </w:rPr>
        <w:t xml:space="preserve"> - документ, составляемый уполномоченным государственным органом, в котором указывается перечень насаждений, произрастающих на земельном участке;</w:t>
      </w:r>
    </w:p>
    <w:p>
      <w:pPr>
        <w:pStyle w:val="Normal"/>
        <w:spacing w:lineRule="auto" w:line="276" w:before="0" w:after="60"/>
        <w:ind w:left="0" w:right="0" w:firstLine="567"/>
        <w:jc w:val="both"/>
        <w:rPr/>
      </w:pPr>
      <w:r>
        <w:rPr>
          <w:rFonts w:eastAsia="Times New Roman" w:cs="Arial" w:ascii="Arial" w:hAnsi="Arial"/>
          <w:sz w:val="20"/>
          <w:szCs w:val="20"/>
          <w:lang w:eastAsia="ru-RU"/>
        </w:rPr>
        <w:t xml:space="preserve">5) </w:t>
      </w:r>
      <w:r>
        <w:rPr>
          <w:rFonts w:eastAsia="Times New Roman" w:cs="Arial" w:ascii="Arial" w:hAnsi="Arial"/>
          <w:b/>
          <w:bCs/>
          <w:sz w:val="20"/>
          <w:szCs w:val="20"/>
          <w:lang w:eastAsia="ru-RU"/>
        </w:rPr>
        <w:t>рубка особо ценных древесных пород</w:t>
      </w:r>
      <w:r>
        <w:rPr>
          <w:rFonts w:eastAsia="Times New Roman" w:cs="Arial" w:ascii="Arial" w:hAnsi="Arial"/>
          <w:sz w:val="20"/>
          <w:szCs w:val="20"/>
          <w:lang w:eastAsia="ru-RU"/>
        </w:rPr>
        <w:t xml:space="preserve"> - удаление лесных насаждений и процесс их валки (в том числе спиливание, срубание, срезание), а также иные технологически связанные с ними процессы;</w:t>
      </w:r>
    </w:p>
    <w:p>
      <w:pPr>
        <w:pStyle w:val="Normal"/>
        <w:spacing w:lineRule="auto" w:line="276" w:before="0" w:after="60"/>
        <w:ind w:left="0" w:right="0" w:firstLine="567"/>
        <w:jc w:val="both"/>
        <w:rPr/>
      </w:pPr>
      <w:r>
        <w:rPr>
          <w:rFonts w:eastAsia="Times New Roman" w:cs="Arial" w:ascii="Arial" w:hAnsi="Arial"/>
          <w:sz w:val="20"/>
          <w:szCs w:val="20"/>
          <w:lang w:eastAsia="ru-RU"/>
        </w:rPr>
        <w:t xml:space="preserve">6) </w:t>
      </w:r>
      <w:r>
        <w:rPr>
          <w:rFonts w:eastAsia="Times New Roman" w:cs="Arial" w:ascii="Arial" w:hAnsi="Arial"/>
          <w:b/>
          <w:bCs/>
          <w:sz w:val="20"/>
          <w:szCs w:val="20"/>
          <w:lang w:eastAsia="ru-RU"/>
        </w:rPr>
        <w:t>трелевочный волок</w:t>
      </w:r>
      <w:r>
        <w:rPr>
          <w:rFonts w:eastAsia="Times New Roman" w:cs="Arial" w:ascii="Arial" w:hAnsi="Arial"/>
          <w:sz w:val="20"/>
          <w:szCs w:val="20"/>
          <w:lang w:eastAsia="ru-RU"/>
        </w:rPr>
        <w:t xml:space="preserve"> - кратчайший путь на лесосеке, по которому осуществляется трелевка или прямая вывозка деревьев, хлыстов, круглых или колотых сортиментов, обеспечивающая сохранение подроста, почвы и оставшихся на корню деревьев;</w:t>
      </w:r>
    </w:p>
    <w:p>
      <w:pPr>
        <w:pStyle w:val="Normal"/>
        <w:spacing w:lineRule="auto" w:line="276" w:before="0" w:after="60"/>
        <w:ind w:left="0" w:right="0" w:firstLine="567"/>
        <w:jc w:val="both"/>
        <w:rPr/>
      </w:pPr>
      <w:r>
        <w:rPr>
          <w:rFonts w:eastAsia="Times New Roman" w:cs="Arial" w:ascii="Arial" w:hAnsi="Arial"/>
          <w:sz w:val="20"/>
          <w:szCs w:val="20"/>
          <w:lang w:eastAsia="ru-RU"/>
        </w:rPr>
        <w:t xml:space="preserve">7) </w:t>
      </w:r>
      <w:r>
        <w:rPr>
          <w:rFonts w:eastAsia="Times New Roman" w:cs="Arial" w:ascii="Arial" w:hAnsi="Arial"/>
          <w:b/>
          <w:bCs/>
          <w:sz w:val="20"/>
          <w:szCs w:val="20"/>
          <w:lang w:eastAsia="ru-RU"/>
        </w:rPr>
        <w:t>трелевка леса</w:t>
      </w:r>
      <w:r>
        <w:rPr>
          <w:rFonts w:eastAsia="Times New Roman" w:cs="Arial" w:ascii="Arial" w:hAnsi="Arial"/>
          <w:sz w:val="20"/>
          <w:szCs w:val="20"/>
          <w:lang w:eastAsia="ru-RU"/>
        </w:rPr>
        <w:t xml:space="preserve"> - перемещение деревьев, хлыстов или сортиментов от места валки до лесопогрузочного пункта или лесовозной дороги.</w:t>
      </w:r>
    </w:p>
    <w:p>
      <w:pPr>
        <w:pStyle w:val="Normal"/>
        <w:spacing w:lineRule="auto" w:line="276" w:before="200" w:after="200"/>
        <w:ind w:left="1134" w:right="1134" w:hanging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ru-RU"/>
        </w:rPr>
      </w:pPr>
      <w:bookmarkStart w:id="1" w:name="r2"/>
      <w:bookmarkEnd w:id="1"/>
      <w:r>
        <w:rPr>
          <w:rFonts w:eastAsia="Times New Roman" w:cs="Arial" w:ascii="Arial" w:hAnsi="Arial"/>
          <w:b/>
          <w:bCs/>
          <w:sz w:val="24"/>
          <w:szCs w:val="24"/>
          <w:lang w:eastAsia="ru-RU"/>
        </w:rPr>
        <w:t>2. Порядок подачи заявления в комиссию</w:t>
      </w:r>
    </w:p>
    <w:p>
      <w:pPr>
        <w:pStyle w:val="Normal"/>
        <w:spacing w:lineRule="auto" w:line="276" w:before="0" w:after="60"/>
        <w:ind w:left="0" w:right="0" w:firstLine="567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3. Заявитель подает в уполномоченный государственный орган заявление о допуске к рубке особо ценных древесных пород.</w:t>
      </w:r>
    </w:p>
    <w:p>
      <w:pPr>
        <w:pStyle w:val="Normal"/>
        <w:spacing w:lineRule="auto" w:line="276" w:before="0" w:after="60"/>
        <w:ind w:left="0" w:right="0" w:firstLine="567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4. В заявлении указываются:</w:t>
      </w:r>
    </w:p>
    <w:p>
      <w:pPr>
        <w:pStyle w:val="Normal"/>
        <w:spacing w:lineRule="auto" w:line="276" w:before="0" w:after="60"/>
        <w:ind w:left="0" w:right="0" w:firstLine="567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1) полное наименование и адрес заявителя (для юридических лиц), фамилия, имя, отчество и место жительства заявителя (для физических лиц);</w:t>
      </w:r>
    </w:p>
    <w:p>
      <w:pPr>
        <w:pStyle w:val="Normal"/>
        <w:spacing w:lineRule="auto" w:line="276" w:before="0" w:after="60"/>
        <w:ind w:left="0" w:right="0" w:firstLine="567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2) контактные данные (телефон, факс, адрес электронной почты);</w:t>
      </w:r>
    </w:p>
    <w:p>
      <w:pPr>
        <w:pStyle w:val="Normal"/>
        <w:spacing w:lineRule="auto" w:line="276" w:before="0" w:after="60"/>
        <w:ind w:left="0" w:right="0" w:firstLine="567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3) административная единица (область, район, айылный аймак), на территории которой будет производиться рубка;</w:t>
      </w:r>
    </w:p>
    <w:p>
      <w:pPr>
        <w:pStyle w:val="Normal"/>
        <w:spacing w:lineRule="auto" w:line="276" w:before="0" w:after="60"/>
        <w:ind w:left="0" w:right="0" w:firstLine="567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4) сроки предполагаемой рубки особо ценных древесных пород;</w:t>
      </w:r>
    </w:p>
    <w:p>
      <w:pPr>
        <w:pStyle w:val="Normal"/>
        <w:spacing w:lineRule="auto" w:line="276" w:before="0" w:after="60"/>
        <w:ind w:left="0" w:right="0" w:firstLine="567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5) объемы особо ценных древесных пород, подлежащих рубке.</w:t>
      </w:r>
    </w:p>
    <w:p>
      <w:pPr>
        <w:pStyle w:val="Normal"/>
        <w:spacing w:lineRule="auto" w:line="276" w:before="0" w:after="60"/>
        <w:ind w:left="0" w:right="0" w:firstLine="567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5. К заявлению прилагаются следующие документы:</w:t>
      </w:r>
    </w:p>
    <w:p>
      <w:pPr>
        <w:pStyle w:val="Normal"/>
        <w:spacing w:lineRule="auto" w:line="276" w:before="0" w:after="60"/>
        <w:ind w:left="0" w:right="0" w:firstLine="567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1) для юридических лиц - нотариально заверенная копия документа, подтверждающего государственную регистрацию в органах юстиции и налоговой службы Кыргызской Республики;</w:t>
      </w:r>
    </w:p>
    <w:p>
      <w:pPr>
        <w:pStyle w:val="Normal"/>
        <w:spacing w:lineRule="auto" w:line="276" w:before="0" w:after="60"/>
        <w:ind w:left="0" w:right="0" w:firstLine="567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2) для физических лиц - нотариально заверенная копия паспорта и документа, подтверждающего регистрацию в органах государственной статистики;</w:t>
      </w:r>
    </w:p>
    <w:p>
      <w:pPr>
        <w:pStyle w:val="Normal"/>
        <w:spacing w:lineRule="auto" w:line="276" w:before="0" w:after="60"/>
        <w:ind w:left="0" w:right="0" w:firstLine="567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3) положительное заключение государственной экологической экспертизы уполномоченного государственного органа на проектную документацию о намечаемой деятельности на земельном участке с особо ценными древесными породами, за исключением случаев, указанных в пункте 29 настоящих Правил;</w:t>
      </w:r>
    </w:p>
    <w:p>
      <w:pPr>
        <w:pStyle w:val="Normal"/>
        <w:spacing w:lineRule="auto" w:line="276" w:before="0" w:after="60"/>
        <w:ind w:left="0" w:right="0" w:firstLine="567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4) акт обследования участка по форме, утвержденной уполномоченным государственным органом;</w:t>
      </w:r>
    </w:p>
    <w:p>
      <w:pPr>
        <w:pStyle w:val="Normal"/>
        <w:spacing w:lineRule="auto" w:line="276" w:before="0" w:after="60"/>
        <w:ind w:left="0" w:right="0" w:firstLine="567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5) перечетная ведомость насаждений по форме, утвержденной уполномоченным государственным органом;</w:t>
      </w:r>
    </w:p>
    <w:p>
      <w:pPr>
        <w:pStyle w:val="Normal"/>
        <w:spacing w:lineRule="auto" w:line="276" w:before="0" w:after="60"/>
        <w:ind w:left="0" w:right="0" w:firstLine="567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6) лесоустроительный проект, составленный с расчетами убытков (включая упущенную выгоду) и потерь лесохозяйственного производства, если особо ценные древесные породы произрастают на землях лесного фонда и других категорий земельного фонда, за исключением случаев, указанных в пункте 29 настоящих Правил;</w:t>
      </w:r>
    </w:p>
    <w:p>
      <w:pPr>
        <w:pStyle w:val="Normal"/>
        <w:spacing w:lineRule="auto" w:line="276" w:before="0" w:after="60"/>
        <w:ind w:left="0" w:right="0" w:firstLine="567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7) лесоустроительное заключение, составленное с расчетами убытков (включая упущенную выгоду) и потерь лесохозяйственного производства, если особо ценные древесные породы произрастают вне территории государственного лесного фонда, за исключением случаев, указанных в пункте 29 настоящих Правил.</w:t>
      </w:r>
    </w:p>
    <w:p>
      <w:pPr>
        <w:pStyle w:val="Normal"/>
        <w:spacing w:lineRule="auto" w:line="276" w:before="0" w:after="60"/>
        <w:ind w:left="0" w:right="0" w:firstLine="567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6. В случае представления заявителем документов, не соответствующих пунктам 4 и 5 настоящих Правил, заявление не регистрируется, о чем в течение 3 рабочих дней секретарем комиссии направляется уведомление по контактным данным (телефон, факс, электронная почта), указанным в заявлении.</w:t>
      </w:r>
    </w:p>
    <w:p>
      <w:pPr>
        <w:pStyle w:val="Normal"/>
        <w:spacing w:lineRule="auto" w:line="276" w:before="0" w:after="60"/>
        <w:ind w:left="0" w:right="0" w:firstLine="567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7. Заявитель вправе доукомплектовать недостающие документы и подать заявление о допуске к рубке особо ценных древесных пород повторно.</w:t>
      </w:r>
    </w:p>
    <w:p>
      <w:pPr>
        <w:pStyle w:val="Normal"/>
        <w:spacing w:lineRule="auto" w:line="276" w:before="0" w:after="60"/>
        <w:ind w:left="0" w:right="0" w:firstLine="567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8. Заявление и документы, указанные в пунктах 4 и 5 настоящих Правил, могут представляться на государственном или официальном языках.</w:t>
      </w:r>
    </w:p>
    <w:p>
      <w:pPr>
        <w:pStyle w:val="Normal"/>
        <w:spacing w:lineRule="auto" w:line="276" w:before="0" w:after="60"/>
        <w:ind w:left="0" w:right="0" w:firstLine="567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9. В случае утери или порчи подлинного экземпляра заключения на допуск к рубке особо ценных древесных пород по заявлению заявителя уполномоченным государственным органом выдается заверенная копия заключения.</w:t>
      </w:r>
    </w:p>
    <w:p>
      <w:pPr>
        <w:pStyle w:val="Normal"/>
        <w:spacing w:lineRule="auto" w:line="276" w:before="0" w:after="60"/>
        <w:ind w:left="0" w:right="0" w:firstLine="567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10. Заявление о выдаче копии заключения рассматривается в течение 5 рабочих дней со дня регистрации заявления.</w:t>
      </w:r>
    </w:p>
    <w:p>
      <w:pPr>
        <w:pStyle w:val="Normal"/>
        <w:spacing w:lineRule="auto" w:line="276" w:before="0" w:after="60"/>
        <w:ind w:left="0" w:right="0" w:firstLine="567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11. Копия заключения на допуск к рубке выдается на основании имеющихся у уполномоченного государственного органа документов, в пределах срока действия, указанного в оригинале заключения.</w:t>
      </w:r>
    </w:p>
    <w:p>
      <w:pPr>
        <w:pStyle w:val="Normal"/>
        <w:spacing w:lineRule="auto" w:line="276" w:before="200" w:after="200"/>
        <w:ind w:left="1134" w:right="1134" w:hanging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ru-RU"/>
        </w:rPr>
      </w:pPr>
      <w:bookmarkStart w:id="2" w:name="r3"/>
      <w:bookmarkEnd w:id="2"/>
      <w:r>
        <w:rPr>
          <w:rFonts w:eastAsia="Times New Roman" w:cs="Arial" w:ascii="Arial" w:hAnsi="Arial"/>
          <w:b/>
          <w:bCs/>
          <w:sz w:val="24"/>
          <w:szCs w:val="24"/>
          <w:lang w:eastAsia="ru-RU"/>
        </w:rPr>
        <w:t>3. Порядок выдачи заключения на допуск рубки особо ценных древесных пород</w:t>
      </w:r>
    </w:p>
    <w:p>
      <w:pPr>
        <w:pStyle w:val="Normal"/>
        <w:spacing w:lineRule="auto" w:line="276" w:before="0" w:after="60"/>
        <w:ind w:left="0" w:right="0" w:firstLine="567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12. Для рассмотрения заявления заявителей о допуске к рубке особо ценных древесных пород решением уполномоченного государственного органа создается комиссия.</w:t>
      </w:r>
    </w:p>
    <w:p>
      <w:pPr>
        <w:pStyle w:val="Normal"/>
        <w:spacing w:lineRule="auto" w:line="276" w:before="0" w:after="60"/>
        <w:ind w:left="0" w:right="0" w:firstLine="567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13. Количество членов комиссии должно быть нечетным и составлять не менее 7 (семь), но не более 11 (одиннадцать) человек.</w:t>
      </w:r>
    </w:p>
    <w:p>
      <w:pPr>
        <w:pStyle w:val="Normal"/>
        <w:spacing w:lineRule="auto" w:line="276" w:before="0" w:after="60"/>
        <w:ind w:left="0" w:right="0" w:firstLine="567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14. В состав комиссии входят специалисты, курирующие вопросы природоохранной деятельности:</w:t>
      </w:r>
    </w:p>
    <w:p>
      <w:pPr>
        <w:pStyle w:val="Normal"/>
        <w:spacing w:lineRule="auto" w:line="276" w:before="0" w:after="60"/>
        <w:ind w:left="0" w:right="0" w:firstLine="567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государственного органа исполнительной власти, реализующего государственную политику и осуществляющего управление в сфере автомобильного, железнодорожного, воздушного, электрического и водного транспорта;</w:t>
      </w:r>
    </w:p>
    <w:p>
      <w:pPr>
        <w:pStyle w:val="Normal"/>
        <w:spacing w:lineRule="auto" w:line="276" w:before="0" w:after="60"/>
        <w:ind w:left="0" w:right="0" w:firstLine="567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государственного органа исполнительной власти, осуществляющего функции по разработке и реализации государственной политики в области недропользования;</w:t>
      </w:r>
    </w:p>
    <w:p>
      <w:pPr>
        <w:pStyle w:val="Normal"/>
        <w:spacing w:lineRule="auto" w:line="276" w:before="0" w:after="60"/>
        <w:ind w:left="0" w:right="0" w:firstLine="567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государственного органа исполнительной власти, осуществляющего функции в сфере архитектуры, строительства и жилищно-коммунального хозяйства;</w:t>
      </w:r>
    </w:p>
    <w:p>
      <w:pPr>
        <w:pStyle w:val="Normal"/>
        <w:spacing w:lineRule="auto" w:line="276" w:before="0" w:after="60"/>
        <w:ind w:left="0" w:right="0" w:firstLine="567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государственного органа исполнительной власти, осуществляющего государственный надзор и контроль по вопросам экологической и технической безопасности;</w:t>
      </w:r>
    </w:p>
    <w:p>
      <w:pPr>
        <w:pStyle w:val="Normal"/>
        <w:spacing w:lineRule="auto" w:line="276" w:before="0" w:after="60"/>
        <w:ind w:left="0" w:right="0" w:firstLine="567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государственного органа исполнительной власти, обеспечивающего функции по реализации государственной политики в области регистрации прав на недвижимое имущество;</w:t>
      </w:r>
    </w:p>
    <w:p>
      <w:pPr>
        <w:pStyle w:val="Normal"/>
        <w:spacing w:lineRule="auto" w:line="276" w:before="0" w:after="60"/>
        <w:ind w:left="0" w:right="0" w:firstLine="567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государственного предприятия по проектно-изыскательским землеустроительным и земельно-кадастровым работам;</w:t>
      </w:r>
    </w:p>
    <w:p>
      <w:pPr>
        <w:pStyle w:val="Normal"/>
        <w:spacing w:lineRule="auto" w:line="276" w:before="0" w:after="60"/>
        <w:ind w:left="0" w:right="0" w:firstLine="567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высшего государственного научного учреждения;</w:t>
      </w:r>
    </w:p>
    <w:p>
      <w:pPr>
        <w:pStyle w:val="Normal"/>
        <w:spacing w:lineRule="auto" w:line="276" w:before="0" w:after="60"/>
        <w:ind w:left="0" w:right="0" w:firstLine="567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органа местного самоуправления по местонахождению земельного участка, на территории которого, произрастают особо ценные древесные породы;</w:t>
      </w:r>
    </w:p>
    <w:p>
      <w:pPr>
        <w:pStyle w:val="Normal"/>
        <w:spacing w:lineRule="auto" w:line="276" w:before="0" w:after="60"/>
        <w:ind w:left="0" w:right="0" w:firstLine="567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независимой общественной организации;</w:t>
      </w:r>
    </w:p>
    <w:p>
      <w:pPr>
        <w:pStyle w:val="Normal"/>
        <w:spacing w:lineRule="auto" w:line="276" w:before="0" w:after="60"/>
        <w:ind w:left="0" w:right="0" w:firstLine="567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заявитель без права голоса.</w:t>
      </w:r>
    </w:p>
    <w:p>
      <w:pPr>
        <w:pStyle w:val="Normal"/>
        <w:spacing w:lineRule="auto" w:line="276" w:before="0" w:after="60"/>
        <w:ind w:left="0" w:right="0" w:firstLine="567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Председателем комиссии на постоянной основе является заместитель руководителя уполномоченного государственного органа.</w:t>
      </w:r>
    </w:p>
    <w:p>
      <w:pPr>
        <w:pStyle w:val="Normal"/>
        <w:spacing w:lineRule="auto" w:line="276" w:before="0" w:after="60"/>
        <w:ind w:left="0" w:right="0" w:firstLine="567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Заместителем председателя является руководитель подведомственного подразделения уполномоченного государственного органа.</w:t>
      </w:r>
    </w:p>
    <w:p>
      <w:pPr>
        <w:pStyle w:val="Normal"/>
        <w:spacing w:lineRule="auto" w:line="276" w:before="0" w:after="60"/>
        <w:ind w:left="0" w:right="0" w:firstLine="567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Секретарем комиссии без права голоса является представитель уполномоченного государственного органа.</w:t>
      </w:r>
    </w:p>
    <w:p>
      <w:pPr>
        <w:pStyle w:val="Normal"/>
        <w:spacing w:lineRule="auto" w:line="276" w:before="0" w:after="60"/>
        <w:ind w:left="0" w:right="0" w:firstLine="567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15. Регламент работы комиссии определяется уполномоченным государственным органом.</w:t>
      </w:r>
    </w:p>
    <w:p>
      <w:pPr>
        <w:pStyle w:val="Normal"/>
        <w:spacing w:lineRule="auto" w:line="276" w:before="0" w:after="60"/>
        <w:ind w:left="0" w:right="0" w:firstLine="567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16. Комиссия заседает в течение 14 календарных дней с момента поступления заявления.</w:t>
      </w:r>
    </w:p>
    <w:p>
      <w:pPr>
        <w:pStyle w:val="Normal"/>
        <w:spacing w:lineRule="auto" w:line="276" w:before="0" w:after="60"/>
        <w:ind w:left="0" w:right="0" w:firstLine="567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17. Протокол с решением комиссии подписывается всеми участвующими в заседаниях членами комиссии и направляется руководителю уполномоченного государственного органа в течение 2 (два) рабочих дней со дня заседания комиссии.</w:t>
      </w:r>
    </w:p>
    <w:p>
      <w:pPr>
        <w:pStyle w:val="Normal"/>
        <w:spacing w:lineRule="auto" w:line="276" w:before="0" w:after="60"/>
        <w:ind w:left="0" w:right="0" w:firstLine="567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18. При положительном решении комиссии, в течение 14 календарных дней со дня поступления протокола заседания комиссии уполномоченный государственный орган выдает заявителю заключение на допуск к рубке особо ценных древесных пород.</w:t>
      </w:r>
    </w:p>
    <w:p>
      <w:pPr>
        <w:pStyle w:val="Normal"/>
        <w:spacing w:lineRule="auto" w:line="276" w:before="0" w:after="60"/>
        <w:ind w:left="0" w:right="0" w:firstLine="567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19. Заключение на допуск к рубке особо ценных древесных пород оформляется в двух экземплярах. Один экземпляр выдается заявителю, второй экземпляр хранится вместе со всеми материалами в уполномоченном государственном органе.</w:t>
      </w:r>
    </w:p>
    <w:p>
      <w:pPr>
        <w:pStyle w:val="Normal"/>
        <w:spacing w:lineRule="auto" w:line="276" w:before="0" w:after="60"/>
        <w:ind w:left="0" w:right="0" w:firstLine="567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20. Срок действия заключения на допуск к рубке особо ценных древесных пород составляет 1 год и исчисляется со дня его выдачи.</w:t>
      </w:r>
    </w:p>
    <w:p>
      <w:pPr>
        <w:pStyle w:val="Normal"/>
        <w:spacing w:lineRule="auto" w:line="276" w:before="0" w:after="60"/>
        <w:ind w:left="0" w:right="0" w:firstLine="567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21. Если заключение на допуск к рубке особо ценных древесных пород не было использовано в указанные сроки, оно является недействительным.</w:t>
      </w:r>
    </w:p>
    <w:p>
      <w:pPr>
        <w:pStyle w:val="Normal"/>
        <w:spacing w:lineRule="auto" w:line="276" w:before="200" w:after="200"/>
        <w:ind w:left="1134" w:right="1134" w:hanging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ru-RU"/>
        </w:rPr>
      </w:pPr>
      <w:bookmarkStart w:id="3" w:name="r4"/>
      <w:bookmarkEnd w:id="3"/>
      <w:r>
        <w:rPr>
          <w:rFonts w:eastAsia="Times New Roman" w:cs="Arial" w:ascii="Arial" w:hAnsi="Arial"/>
          <w:b/>
          <w:bCs/>
          <w:sz w:val="24"/>
          <w:szCs w:val="24"/>
          <w:lang w:eastAsia="ru-RU"/>
        </w:rPr>
        <w:t>4. Рубка особо ценных древесных пород</w:t>
      </w:r>
    </w:p>
    <w:p>
      <w:pPr>
        <w:pStyle w:val="Normal"/>
        <w:spacing w:lineRule="auto" w:line="276" w:before="0" w:after="60"/>
        <w:ind w:left="0" w:right="0" w:firstLine="567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22. Рубка особо ценных древесных пород, связанная с расчисткой лесных площадей при производстве строительных и взрывных работ, прокладке кабеля, трубопроводов, транспортных магистралей и иных коммуникаций, проведении научных исследований, геологическом изучении и промышленном освоении недр, осуществляется в виде полос или массивов путем сплошной вырубки леса, в соответствии с правилами рубки леса в Кыргызской Республике, утверждаемыми уполномоченным государственным органом.</w:t>
      </w:r>
    </w:p>
    <w:p>
      <w:pPr>
        <w:pStyle w:val="Normal"/>
        <w:spacing w:lineRule="auto" w:line="276" w:before="0" w:after="60"/>
        <w:ind w:left="0" w:right="0" w:firstLine="567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23. Подготовительные работы и рубка особо ценных древесных пород осуществляется заявителем за счет собственных средств.</w:t>
      </w:r>
    </w:p>
    <w:p>
      <w:pPr>
        <w:pStyle w:val="Normal"/>
        <w:spacing w:lineRule="auto" w:line="276" w:before="0" w:after="60"/>
        <w:ind w:left="0" w:right="0" w:firstLine="567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24. Перед началом рубки проводятся подготовительные работы, связанные с анализом территории, установлением объема работ и выявлением границы территории, на которой будет проводиться рубка особо ценных древесных пород.</w:t>
      </w:r>
    </w:p>
    <w:p>
      <w:pPr>
        <w:pStyle w:val="Normal"/>
        <w:spacing w:lineRule="auto" w:line="276" w:before="0" w:after="60"/>
        <w:ind w:left="0" w:right="0" w:firstLine="567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25. Отвод рубки производится с определением границ территории и нумерацией всех деревьев, назначенных для рубки. Затески для написания номеров производятся на высоте груди (1,3 м) и у пня.</w:t>
      </w:r>
    </w:p>
    <w:p>
      <w:pPr>
        <w:pStyle w:val="Normal"/>
        <w:spacing w:lineRule="auto" w:line="276" w:before="0" w:after="60"/>
        <w:ind w:left="0" w:right="0" w:firstLine="567"/>
        <w:jc w:val="both"/>
        <w:rPr/>
      </w:pPr>
      <w:r>
        <w:rPr>
          <w:rFonts w:eastAsia="Times New Roman" w:cs="Arial" w:ascii="Arial" w:hAnsi="Arial"/>
          <w:sz w:val="20"/>
          <w:szCs w:val="20"/>
          <w:lang w:eastAsia="ru-RU"/>
        </w:rPr>
        <w:t>26. После завершения работ по рубке особо ценных древесных пород проводится осмотр и оценка состояния лесосеки, на которой закончена рубка лесных насаждений, уполномоченным государственным органом для подтверждения соответствия произведенной рубки выданному заключению.</w:t>
      </w:r>
    </w:p>
    <w:p>
      <w:pPr>
        <w:pStyle w:val="Normal"/>
        <w:spacing w:lineRule="auto" w:line="276" w:before="0" w:after="60"/>
        <w:ind w:left="0" w:right="0" w:firstLine="567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27. Получаемая древесина и порубочные остатки после проведения рубки особо ценных древесных пород используются по усмотрению заявителя.</w:t>
      </w:r>
    </w:p>
    <w:p>
      <w:pPr>
        <w:pStyle w:val="Normal"/>
        <w:spacing w:lineRule="auto" w:line="276" w:before="0" w:after="60"/>
        <w:ind w:left="0" w:right="0" w:firstLine="567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28. Обязательному сжиганию подлежат порубочные остатки при обнаружении вредных организмов на лесосеке, где они могут оказаться источником распространения инфекции или средой для ее сохранения и заселения вторичными вредными организмами.</w:t>
      </w:r>
    </w:p>
    <w:p>
      <w:pPr>
        <w:pStyle w:val="Normal"/>
        <w:spacing w:lineRule="auto" w:line="276" w:before="0" w:after="60"/>
        <w:ind w:left="0" w:right="0" w:firstLine="567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29. В случаях возникновения массовых очагов вредителей и болезней леса рубка особо ценных древесных пород производится в соответствии с заключением высшего государственного научного учреждения, которое выдается в срок до 1 месяца.</w:t>
      </w:r>
    </w:p>
    <w:p>
      <w:pPr>
        <w:pStyle w:val="Normal"/>
        <w:spacing w:lineRule="auto" w:line="276" w:before="0" w:after="60"/>
        <w:ind w:left="0" w:right="0" w:firstLine="567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30. При рубке особо ценных древесных пород не допускается:</w:t>
      </w:r>
    </w:p>
    <w:p>
      <w:pPr>
        <w:pStyle w:val="Normal"/>
        <w:spacing w:lineRule="auto" w:line="276" w:before="0" w:after="60"/>
        <w:ind w:left="0" w:right="0" w:firstLine="567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1) повреждение лесных насаждений, растительного покрова и почв за пределами предоставленного лесного участка и соответствующей охранной зоны;</w:t>
      </w:r>
    </w:p>
    <w:p>
      <w:pPr>
        <w:pStyle w:val="Normal"/>
        <w:spacing w:lineRule="auto" w:line="276" w:before="0" w:after="60"/>
        <w:ind w:left="0" w:right="0" w:firstLine="567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2) захламление территории за пределами предоставленного лесного участка строительным и бытовым мусором, отходами древесины, иными видами отходов;</w:t>
      </w:r>
    </w:p>
    <w:p>
      <w:pPr>
        <w:pStyle w:val="Normal"/>
        <w:spacing w:lineRule="auto" w:line="276" w:before="0" w:after="60"/>
        <w:ind w:left="0" w:right="0" w:firstLine="567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3) загрязнение лесосеки и территории за ее пределами химическими и радиоактивными веществами;</w:t>
      </w:r>
    </w:p>
    <w:p>
      <w:pPr>
        <w:pStyle w:val="Normal"/>
        <w:spacing w:lineRule="auto" w:line="276" w:before="0" w:after="60"/>
        <w:ind w:left="0" w:right="0" w:firstLine="567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4) проезд транспортных средств и иных механизмов по произвольным, неустановленным дорогам за пределами предоставленного лесного участка в местах произрастания насаждений.</w:t>
      </w:r>
    </w:p>
    <w:p>
      <w:pPr>
        <w:pStyle w:val="Normal"/>
        <w:spacing w:lineRule="auto" w:line="276" w:before="0" w:after="60"/>
        <w:ind w:left="0" w:right="0" w:firstLine="567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31. При рубке леса, транспортировании, трелевке, складировании деревьев, хлыстов, сортиментов заявитель, осуществляющий рубку леса, должен соблюдать принцип максимального сохранения лесных насаждений вне лесосеки.</w:t>
      </w:r>
    </w:p>
    <w:p>
      <w:pPr>
        <w:pStyle w:val="Normal"/>
        <w:spacing w:lineRule="auto" w:line="276" w:before="0" w:after="60"/>
        <w:ind w:left="0" w:right="0" w:firstLine="567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32. Рубка особо ценных древесных пород допускается после осуществления в установленном порядке выплаты возмещения убытков (включая упущенную выгоду) и потерь лесохозяйственного производства.</w:t>
      </w:r>
    </w:p>
    <w:p>
      <w:pPr>
        <w:pStyle w:val="Normal"/>
        <w:spacing w:lineRule="auto" w:line="276" w:before="200" w:after="200"/>
        <w:ind w:left="1134" w:right="1134" w:hanging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ru-RU"/>
        </w:rPr>
      </w:pPr>
      <w:bookmarkStart w:id="4" w:name="r5"/>
      <w:bookmarkEnd w:id="4"/>
      <w:r>
        <w:rPr>
          <w:rFonts w:eastAsia="Times New Roman" w:cs="Arial" w:ascii="Arial" w:hAnsi="Arial"/>
          <w:b/>
          <w:bCs/>
          <w:sz w:val="24"/>
          <w:szCs w:val="24"/>
          <w:lang w:eastAsia="ru-RU"/>
        </w:rPr>
        <w:t>5. Определение стоимостной оценки лесных земель</w:t>
      </w:r>
    </w:p>
    <w:p>
      <w:pPr>
        <w:pStyle w:val="Normal"/>
        <w:spacing w:lineRule="auto" w:line="276" w:before="0" w:after="60"/>
        <w:ind w:left="0" w:right="0" w:firstLine="567"/>
        <w:jc w:val="both"/>
        <w:rPr/>
      </w:pPr>
      <w:r>
        <w:rPr>
          <w:rFonts w:eastAsia="Times New Roman" w:cs="Arial" w:ascii="Arial" w:hAnsi="Arial"/>
          <w:sz w:val="20"/>
          <w:szCs w:val="20"/>
          <w:lang w:eastAsia="ru-RU"/>
        </w:rPr>
        <w:t xml:space="preserve">33. Расчет возмещения убытков (включая упущенную выгоду) и потерь лесохозяйственного производства при рубке особо ценных древесных пород на лесных землях осуществляется в соответствии с </w:t>
      </w:r>
      <w:hyperlink r:id="rId2">
        <w:r>
          <w:rPr>
            <w:rStyle w:val="Style14"/>
            <w:rFonts w:eastAsia="Times New Roman" w:cs="Arial" w:ascii="Arial" w:hAnsi="Arial"/>
            <w:color w:val="0000FF"/>
            <w:sz w:val="20"/>
            <w:szCs w:val="20"/>
            <w:u w:val="single"/>
            <w:lang w:eastAsia="ru-RU"/>
          </w:rPr>
          <w:t>постановлением</w:t>
        </w:r>
      </w:hyperlink>
      <w:r>
        <w:rPr>
          <w:rFonts w:eastAsia="Times New Roman" w:cs="Arial" w:ascii="Arial" w:hAnsi="Arial"/>
          <w:sz w:val="20"/>
          <w:szCs w:val="20"/>
          <w:lang w:eastAsia="ru-RU"/>
        </w:rPr>
        <w:t xml:space="preserve"> Правительства Кыргызской Республики "Об утверждении </w:t>
      </w:r>
      <w:hyperlink r:id="rId3">
        <w:r>
          <w:rPr>
            <w:rStyle w:val="Style14"/>
            <w:rFonts w:eastAsia="Times New Roman" w:cs="Arial" w:ascii="Arial" w:hAnsi="Arial"/>
            <w:color w:val="0000FF"/>
            <w:sz w:val="20"/>
            <w:szCs w:val="20"/>
            <w:u w:val="single"/>
            <w:lang w:eastAsia="ru-RU"/>
          </w:rPr>
          <w:t>Порядка</w:t>
        </w:r>
      </w:hyperlink>
      <w:r>
        <w:rPr>
          <w:rFonts w:eastAsia="Times New Roman" w:cs="Arial" w:ascii="Arial" w:hAnsi="Arial"/>
          <w:sz w:val="20"/>
          <w:szCs w:val="20"/>
          <w:lang w:eastAsia="ru-RU"/>
        </w:rPr>
        <w:t xml:space="preserve"> определения стоимостной оценки (нормативной цены) лесных земель при возмещении убытков и потерь лесохозяйственного производства в случаях использования участков леса, как входящих, так и не входящих в государственный лесной фонд, а также участков лесного фонда в целях, не связанных с ведением лесного хозяйства" от 13 августа 2013 года № 458.</w:t>
      </w:r>
    </w:p>
    <w:p>
      <w:pPr>
        <w:pStyle w:val="Normal"/>
        <w:spacing w:lineRule="auto" w:line="276" w:before="0" w:after="60"/>
        <w:ind w:left="0" w:right="0" w:firstLine="567"/>
        <w:jc w:val="both"/>
        <w:rPr/>
      </w:pPr>
      <w:r>
        <w:rPr>
          <w:rFonts w:eastAsia="Times New Roman" w:cs="Arial" w:ascii="Arial" w:hAnsi="Arial"/>
          <w:sz w:val="20"/>
          <w:szCs w:val="20"/>
          <w:lang w:eastAsia="ru-RU"/>
        </w:rPr>
        <w:t xml:space="preserve">34. Отдельные деревья и группы деревьев особо ценных древесных пород, произрастающие на землях лесного фонда и других категориях земельного фонда, отпускаются на корню согласно </w:t>
      </w:r>
      <w:hyperlink r:id="rId4">
        <w:r>
          <w:rPr>
            <w:rStyle w:val="Style14"/>
            <w:rFonts w:eastAsia="Times New Roman" w:cs="Arial" w:ascii="Arial" w:hAnsi="Arial"/>
            <w:color w:val="0000FF"/>
            <w:sz w:val="20"/>
            <w:szCs w:val="20"/>
            <w:u w:val="single"/>
            <w:lang w:eastAsia="ru-RU"/>
          </w:rPr>
          <w:t>постановлению</w:t>
        </w:r>
      </w:hyperlink>
      <w:r>
        <w:rPr>
          <w:rFonts w:eastAsia="Times New Roman" w:cs="Arial" w:ascii="Arial" w:hAnsi="Arial"/>
          <w:sz w:val="20"/>
          <w:szCs w:val="20"/>
          <w:lang w:eastAsia="ru-RU"/>
        </w:rPr>
        <w:t xml:space="preserve"> Правительства Кыргызской Республики "Об утверждении </w:t>
      </w:r>
      <w:hyperlink r:id="rId5">
        <w:r>
          <w:rPr>
            <w:rStyle w:val="Style14"/>
            <w:rFonts w:eastAsia="Times New Roman" w:cs="Arial" w:ascii="Arial" w:hAnsi="Arial"/>
            <w:color w:val="0000FF"/>
            <w:sz w:val="20"/>
            <w:szCs w:val="20"/>
            <w:u w:val="single"/>
            <w:lang w:eastAsia="ru-RU"/>
          </w:rPr>
          <w:t>Правил</w:t>
        </w:r>
      </w:hyperlink>
      <w:r>
        <w:rPr>
          <w:rFonts w:eastAsia="Times New Roman" w:cs="Arial" w:ascii="Arial" w:hAnsi="Arial"/>
          <w:sz w:val="20"/>
          <w:szCs w:val="20"/>
          <w:lang w:eastAsia="ru-RU"/>
        </w:rPr>
        <w:t xml:space="preserve"> отпуска древесины на корню в лесах Кыргызской Республики, такс на древесину лесных пород, отпускаемую на корню, и нормативов для оценки покрытой лесом площади Кыргызской Республики" от 10 февраля 2009 года № 97.</w:t>
      </w:r>
    </w:p>
    <w:p>
      <w:pPr>
        <w:pStyle w:val="Normal"/>
        <w:spacing w:lineRule="auto" w:line="276" w:before="200" w:after="200"/>
        <w:ind w:left="1134" w:right="1134" w:hanging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ru-RU"/>
        </w:rPr>
      </w:pPr>
      <w:bookmarkStart w:id="5" w:name="r6"/>
      <w:bookmarkEnd w:id="5"/>
      <w:r>
        <w:rPr>
          <w:rFonts w:eastAsia="Times New Roman" w:cs="Arial" w:ascii="Arial" w:hAnsi="Arial"/>
          <w:b/>
          <w:bCs/>
          <w:sz w:val="24"/>
          <w:szCs w:val="24"/>
          <w:lang w:eastAsia="ru-RU"/>
        </w:rPr>
        <w:t>6. Ответственность граждан и должностных лиц</w:t>
      </w:r>
    </w:p>
    <w:p>
      <w:pPr>
        <w:pStyle w:val="Normal"/>
        <w:spacing w:lineRule="auto" w:line="276" w:before="0" w:after="60"/>
        <w:ind w:left="0" w:right="0" w:firstLine="567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35. Юридические и физические лица имеют право на обжалование решения уполномоченного государственного органа и могут обратиться с жалобой о нарушениях настоящих Правил, в соответствии с законодательством об административной деятельности и административных процедурах.</w:t>
      </w:r>
    </w:p>
    <w:p>
      <w:pPr>
        <w:pStyle w:val="Normal"/>
        <w:spacing w:lineRule="auto" w:line="276" w:before="0" w:after="60"/>
        <w:ind w:left="0" w:right="0" w:firstLine="567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36. Ответственность юридических и физических лиц, допустивших нарушение требований настоящих Правил, в том числе за повреждение и рубку не отведенных под рубку особо ценных древесных пород, рассматривается в порядке, установленными уголовным законодательством и законодательством Кыргызской Республики о нарушениях.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FreeSans"/>
      <w:color w:val="auto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toktom://db/119922" TargetMode="External"/><Relationship Id="rId3" Type="http://schemas.openxmlformats.org/officeDocument/2006/relationships/hyperlink" Target="toktom://db/119923" TargetMode="External"/><Relationship Id="rId4" Type="http://schemas.openxmlformats.org/officeDocument/2006/relationships/hyperlink" Target="toktom://db/88172" TargetMode="External"/><Relationship Id="rId5" Type="http://schemas.openxmlformats.org/officeDocument/2006/relationships/hyperlink" Target="toktom://db/88173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LibreOffice/5.1.6.2$Linux_X86_64 LibreOffice_project/10m0$Build-2</Application>
  <Pages>4</Pages>
  <Words>1552</Words>
  <Characters>11099</Characters>
  <CharactersWithSpaces>12572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2019-01-22T12:04:39Z</dcterms:created>
  <dc:creator/>
  <dc:description/>
  <dc:language>ru-RU</dc:language>
  <cp:lastModifiedBy/>
  <dcterms:modified xsi:type="dcterms:W3CDTF">2019-01-22T12:06:15Z</dcterms:modified>
  <cp:revision>1</cp:revision>
  <dc:subject/>
  <dc:title/>
</cp:coreProperties>
</file>