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400" w:after="4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ПРАВИЛА</w:t>
        <w:br/>
        <w:t>рубки особо ценных древесных пород в Кыргызской Республике</w:t>
      </w:r>
    </w:p>
    <w:p>
      <w:pPr>
        <w:pStyle w:val="Normal"/>
        <w:spacing w:lineRule="auto" w:line="276" w:before="200" w:after="2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bookmarkStart w:id="0" w:name="r1"/>
      <w:bookmarkEnd w:id="0"/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1. Общие положения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1. Правила рубки особо ценных древесных пород в Кыргызской Республике (далее - Правила) определяют порядок рубки на основании заключения государственного органа исполнительной власти, обеспечивающего реализацию функций по проведению единой политики в области охраны окружающей среды (далее - уполномоченный государственный орган).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2. Определения, применяемые в настоящих Правилах: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1) </w:t>
      </w: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акт обследования участка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- документ, который составляется уполномоченным государственным органом по итогам осмотра земельного участка, в который вносятся данные о произрастающих особо ценных древесных породах;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2) </w:t>
      </w: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заключение на допуск к рубке особо ценных древесных пород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- документ, выдаваемый уполномоченным государственным органом, на основании которого осуществляется рубка особо ценных древесных пород;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3) </w:t>
      </w: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лесоустроительный проект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- документ, содержащий количественные и качественные характеристики лесных ресурсов с картографическими материалами, который выдается уполномоченным государственным органом;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4) </w:t>
      </w: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перечетная ведомость насаждений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- документ, составляемый уполномоченным государственным органом, в котором указывается перечень насаждений, произрастающих на земельном участке;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5) </w:t>
      </w: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рубка особо ценных древесных пород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- удаление лесных насаждений и процесс их валки (в том числе спиливание, срубание, срезание), а также иные технологически связанные с ними процессы;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6) </w:t>
      </w: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трелевочный волок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- кратчайший путь на лесосеке, по которому осуществляется трелевка или прямая вывозка деревьев, хлыстов, круглых или колотых сортиментов, обеспечивающая сохранение подроста, почвы и оставшихся на корню деревьев;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7) </w:t>
      </w: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трелевка леса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- перемещение деревьев, хлыстов или сортиментов от места валки до лесопогрузочного пункта или лесовозной дороги.</w:t>
      </w:r>
    </w:p>
    <w:p>
      <w:pPr>
        <w:pStyle w:val="Normal"/>
        <w:spacing w:lineRule="auto" w:line="276" w:before="200" w:after="2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bookmarkStart w:id="1" w:name="r2"/>
      <w:bookmarkEnd w:id="1"/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2. Порядок подачи заявления в комиссию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3. Заявитель подает в уполномоченный государственный орган заявление о допуске к рубке особо ценных древесных пород.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4. В заявлении указываются: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1) полное наименование и адрес заявителя (для юридических лиц), фамилия, имя, отчество и место жительства заявителя (для физических лиц);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2) контактные данные (телефон, факс, адрес электронной почты);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3) административная единица (область, район, айылный аймак), на территории которой будет производиться рубка;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4) сроки предполагаемой рубки особо ценных древесных пород;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5) объемы особо ценных древесных пород, подлежащих рубке.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5. К заявлению прилагаются следующие документы: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1) для юридических лиц - нотариально заверенная копия документа, подтверждающего государственную регистрацию в органах юстиции и налоговой службы Кыргызской Республики;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2) для физических лиц - нотариально заверенная копия паспорта и документа, подтверждающего регистрацию в органах государственной статистики;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3) положительное заключение государственной экологической экспертизы уполномоченного государственного органа на проектную документацию о намечаемой деятельности на земельном участке с особо ценными древесными породами, за исключением случаев, указанных в пункте 29 настоящих Правил;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4) акт обследования участка по форме, утвержденной уполномоченным государственным органом;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5) перечетная ведомость насаждений по форме, утвержденной уполномоченным государственным органом;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6) лесоустроительный проект, составленный с расчетами убытков (включая упущенную выгоду) и потерь лесохозяйственного производства, если особо ценные древесные породы произрастают на землях лесного фонда и других категорий земельного фонда, за исключением случаев, указанных в пункте 29 настоящих Правил;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7) лесоустроительное заключение, составленное с расчетами убытков (включая упущенную выгоду) и потерь лесохозяйственного производства, если особо ценные древесные породы произрастают вне территории государственного лесного фонда, за исключением случаев, указанных в пункте 29 настоящих Правил.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6. В случае представления заявителем документов, не соответствующих пунктам 4 и 5 настоящих Правил, заявление не регистрируется, о чем в течение 3 рабочих дней секретарем комиссии направляется уведомление по контактным данным (телефон, факс, электронная почта), указанным в заявлении.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7. Заявитель вправе доукомплектовать недостающие документы и подать заявление о допуске к рубке особо ценных древесных пород повторно.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8. Заявление и документы, указанные в пунктах 4 и 5 настоящих Правил, могут представляться на государственном или официальном языках.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9. В случае утери или порчи подлинного экземпляра заключения на допуск к рубке особо ценных древесных пород по заявлению заявителя уполномоченным государственным органом выдается заверенная копия заключения.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10. Заявление о выдаче копии заключения рассматривается в течение 5 рабочих дней со дня регистрации заявления.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11. Копия заключения на допуск к рубке выдается на основании имеющихся у уполномоченного государственного органа документов, в пределах срока действия, указанного в оригинале заключения.</w:t>
      </w:r>
    </w:p>
    <w:p>
      <w:pPr>
        <w:pStyle w:val="Normal"/>
        <w:spacing w:lineRule="auto" w:line="276" w:before="200" w:after="2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bookmarkStart w:id="2" w:name="r3"/>
      <w:bookmarkEnd w:id="2"/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3. Порядок выдачи заключения на допуск рубки особо ценных древесных пород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12. Для рассмотрения заявления заявителей о допуске к рубке особо ценных древесных пород решением уполномоченного государственного органа создается комиссия.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13. Количество членов комиссии должно быть нечетным и составлять не менее 7 (семь), но не более 11 (одиннадцать) человек.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14. В состав комиссии входят специалисты, курирующие вопросы природоохранной деятельности: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государственного органа исполнительной власти, реализующего государственную политику и осуществляющего управление в сфере автомобильного, железнодорожного, воздушного, электрического и водного транспорта;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государственного органа исполнительной власти, осуществляющего функции по разработке и реализации государственной политики в области недропользования;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государственного органа исполнительной власти, осуществляющего функции в сфере архитектуры, строительства и жилищно-коммунального хозяйства;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государственного органа исполнительной власти, осуществляющего государственный надзор и контроль по вопросам экологической и технической безопасности;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государственного органа исполнительной власти, обеспечивающего функции по реализации государственной политики в области регистрации прав на недвижимое имущество;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государственного предприятия по проектно-изыскательским землеустроительным и земельно-кадастровым работам;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высшего государственного научного учреждения;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органа местного самоуправления по местонахождению земельного участка, на территории которого, произрастают особо ценные древесные породы;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независимой общественной организации;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заявитель без права голоса.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Председателем комиссии на постоянной основе является заместитель руководителя уполномоченного государственного органа.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Заместителем председателя является руководитель подведомственного подразделения уполномоченного государственного органа.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Секретарем комиссии без права голоса является представитель уполномоченного государственного органа.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15. Регламент работы комиссии определяется уполномоченным государственным органом.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16. Комиссия заседает в течение 14 календарных дней с момента поступления заявления.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17. Протокол с решением комиссии подписывается всеми участвующими в заседаниях членами комиссии и направляется руководителю уполномоченного государственного органа в течение 2 (два) рабочих дней со дня заседания комиссии.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18. При положительном решении комиссии, в течение 14 календарных дней со дня поступления протокола заседания комиссии уполномоченный государственный орган выдает заявителю заключение на допуск к рубке особо ценных древесных пород.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19. Заключение на допуск к рубке особо ценных древесных пород оформляется в двух экземплярах. Один экземпляр выдается заявителю, второй экземпляр хранится вместе со всеми материалами в уполномоченном государственном органе.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20. Срок действия заключения на допуск к рубке особо ценных древесных пород составляет 1 год и исчисляется со дня его выдачи.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21. Если заключение на допуск к рубке особо ценных древесных пород не было использовано в указанные сроки, оно является недействительным.</w:t>
      </w:r>
    </w:p>
    <w:p>
      <w:pPr>
        <w:pStyle w:val="Normal"/>
        <w:spacing w:lineRule="auto" w:line="276" w:before="200" w:after="2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bookmarkStart w:id="3" w:name="r4"/>
      <w:bookmarkEnd w:id="3"/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4. Рубка особо ценных древесных пород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22. Рубка особо ценных древесных пород, связанная с расчисткой лесных площадей при производстве строительных и взрывных работ, прокладке кабеля, трубопроводов, транспортных магистралей и иных коммуникаций, проведении научных исследований, геологическом изучении и промышленном освоении недр, осуществляется в виде полос или массивов путем сплошной вырубки леса, в соответствии с правилами рубки леса в Кыргызской Республике, утверждаемыми уполномоченным государственным органом.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23. Подготовительные работы и рубка особо ценных древесных пород осуществляется заявителем за счет собственных средств.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24. Перед началом рубки проводятся подготовительные работы, связанные с анализом территории, установлением объема работ и выявлением границы территории, на которой будет проводиться рубка особо ценных древесных пород.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25. Отвод рубки производится с определением границ территории и нумерацией всех деревьев, назначенных для рубки. Затески для написания номеров производятся на высоте груди (1,3 м) и у пня.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>26. После завершения работ по рубке особо ценных древесных пород проводится осмотр и оценка состояния лесосеки, на которой закончена рубка лесных насаждений, уполномоченным государственным органом для подтверждения соответствия произведенной рубки выданному заключению.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27. Получаемая древесина и порубочные остатки после проведения рубки особо ценных древесных пород используются по усмотрению заявителя.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28. Обязательному сжиганию подлежат порубочные остатки при обнаружении вредных организмов на лесосеке, где они могут оказаться источником распространения инфекции или средой для ее сохранения и заселения вторичными вредными организмами.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29. В случаях возникновения массовых очагов вредителей и болезней леса рубка особо ценных древесных пород производится в соответствии с заключением высшего государственного научного учреждения, которое выдается в срок до 1 месяца.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30. При рубке особо ценных древесных пород не допускается: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1) повреждение лесных насаждений, растительного покрова и почв за пределами предоставленного лесного участка и соответствующей охранной зоны;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2) захламление территории за пределами предоставленного лесного участка строительным и бытовым мусором, отходами древесины, иными видами отходов;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3) загрязнение лесосеки и территории за ее пределами химическими и радиоактивными веществами;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4) проезд транспортных средств и иных механизмов по произвольным, неустановленным дорогам за пределами предоставленного лесного участка в местах произрастания насаждений.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31. При рубке леса, транспортировании, трелевке, складировании деревьев, хлыстов, сортиментов заявитель, осуществляющий рубку леса, должен соблюдать принцип максимального сохранения лесных насаждений вне лесосеки.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32. Рубка особо ценных древесных пород допускается после осуществления в установленном порядке выплаты возмещения убытков (включая упущенную выгоду) и потерь лесохозяйственного производства.</w:t>
      </w:r>
    </w:p>
    <w:p>
      <w:pPr>
        <w:pStyle w:val="Normal"/>
        <w:spacing w:lineRule="auto" w:line="276" w:before="200" w:after="2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bookmarkStart w:id="4" w:name="r5"/>
      <w:bookmarkEnd w:id="4"/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5. Определение стоимостной оценки лесных земель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33. Расчет возмещения убытков (включая упущенную выгоду) и потерь лесохозяйственного производства при рубке особо ценных древесных пород на лесных землях осуществляется в соответствии с </w:t>
      </w:r>
      <w:hyperlink r:id="rId2">
        <w:r>
          <w:rPr>
            <w:rStyle w:val="Style14"/>
            <w:rFonts w:eastAsia="Times New Roman" w:cs="Arial" w:ascii="Arial" w:hAnsi="Arial"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>
        <w:rPr>
          <w:rFonts w:eastAsia="Times New Roman" w:cs="Arial" w:ascii="Arial" w:hAnsi="Arial"/>
          <w:sz w:val="20"/>
          <w:szCs w:val="20"/>
          <w:lang w:eastAsia="ru-RU"/>
        </w:rPr>
        <w:t xml:space="preserve"> Правительства Кыргызской Республики "Об утверждении </w:t>
      </w:r>
      <w:hyperlink r:id="rId3">
        <w:r>
          <w:rPr>
            <w:rStyle w:val="Style14"/>
            <w:rFonts w:eastAsia="Times New Roman" w:cs="Arial" w:ascii="Arial" w:hAnsi="Arial"/>
            <w:color w:val="0000FF"/>
            <w:sz w:val="20"/>
            <w:szCs w:val="20"/>
            <w:u w:val="single"/>
            <w:lang w:eastAsia="ru-RU"/>
          </w:rPr>
          <w:t>Порядка</w:t>
        </w:r>
      </w:hyperlink>
      <w:r>
        <w:rPr>
          <w:rFonts w:eastAsia="Times New Roman" w:cs="Arial" w:ascii="Arial" w:hAnsi="Arial"/>
          <w:sz w:val="20"/>
          <w:szCs w:val="20"/>
          <w:lang w:eastAsia="ru-RU"/>
        </w:rPr>
        <w:t xml:space="preserve"> определения стоимостной оценки (нормативной цены) лесных земель при возмещении убытков и потерь лесохозяйственного производства в случаях использования участков леса, как входящих, так и не входящих в государственный лесной фонд, а также участков лесного фонда в целях, не связанных с ведением лесного хозяйства" от 13 августа 2013 года № 458.</w:t>
      </w:r>
    </w:p>
    <w:p>
      <w:pPr>
        <w:pStyle w:val="Normal"/>
        <w:spacing w:lineRule="auto" w:line="276" w:before="0" w:after="60"/>
        <w:ind w:left="0" w:right="0"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34. Отдельные деревья и группы деревьев особо ценных древесных пород, произрастающие на землях лесного фонда и других категориях земельного фонда, отпускаются на корню согласно </w:t>
      </w:r>
      <w:hyperlink r:id="rId4">
        <w:r>
          <w:rPr>
            <w:rStyle w:val="Style14"/>
            <w:rFonts w:eastAsia="Times New Roman" w:cs="Arial" w:ascii="Arial" w:hAnsi="Arial"/>
            <w:color w:val="0000FF"/>
            <w:sz w:val="20"/>
            <w:szCs w:val="20"/>
            <w:u w:val="single"/>
            <w:lang w:eastAsia="ru-RU"/>
          </w:rPr>
          <w:t>постановлению</w:t>
        </w:r>
      </w:hyperlink>
      <w:r>
        <w:rPr>
          <w:rFonts w:eastAsia="Times New Roman" w:cs="Arial" w:ascii="Arial" w:hAnsi="Arial"/>
          <w:sz w:val="20"/>
          <w:szCs w:val="20"/>
          <w:lang w:eastAsia="ru-RU"/>
        </w:rPr>
        <w:t xml:space="preserve"> Правительства Кыргызской Республики "Об утверждении </w:t>
      </w:r>
      <w:hyperlink r:id="rId5">
        <w:r>
          <w:rPr>
            <w:rStyle w:val="Style14"/>
            <w:rFonts w:eastAsia="Times New Roman" w:cs="Arial" w:ascii="Arial" w:hAnsi="Arial"/>
            <w:color w:val="0000FF"/>
            <w:sz w:val="20"/>
            <w:szCs w:val="20"/>
            <w:u w:val="single"/>
            <w:lang w:eastAsia="ru-RU"/>
          </w:rPr>
          <w:t>Правил</w:t>
        </w:r>
      </w:hyperlink>
      <w:r>
        <w:rPr>
          <w:rFonts w:eastAsia="Times New Roman" w:cs="Arial" w:ascii="Arial" w:hAnsi="Arial"/>
          <w:sz w:val="20"/>
          <w:szCs w:val="20"/>
          <w:lang w:eastAsia="ru-RU"/>
        </w:rPr>
        <w:t xml:space="preserve"> отпуска древесины на корню в лесах Кыргызской Республики, такс на древесину лесных пород, отпускаемую на корню, и нормативов для оценки покрытой лесом площади Кыргызской Республики" от 10 февраля 2009 года № 97.</w:t>
      </w:r>
    </w:p>
    <w:p>
      <w:pPr>
        <w:pStyle w:val="Normal"/>
        <w:spacing w:lineRule="auto" w:line="276" w:before="200" w:after="2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bookmarkStart w:id="5" w:name="r6"/>
      <w:bookmarkEnd w:id="5"/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6. Ответственность граждан и должностных лиц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35. Юридические и физические лица имеют право на обжалование решения уполномоченного государственного органа и могут обратиться с жалобой о нарушениях настоящих Правил, в соответствии с законодательством об административной деятельности и административных процедурах.</w:t>
      </w:r>
    </w:p>
    <w:p>
      <w:pPr>
        <w:pStyle w:val="Normal"/>
        <w:spacing w:lineRule="auto" w:line="276" w:before="0" w:after="60"/>
        <w:ind w:left="0" w:right="0"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36. Ответственность юридических и физических лиц, допустивших нарушение требований настоящих Правил, в том числе за повреждение и рубку не отведенных под рубку особо ценных древесных пород, рассматривается в порядке, установленными уголовным законодательством и законодательством Кыргызской Республики о нарушениях.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oktom://db/119922" TargetMode="External"/><Relationship Id="rId3" Type="http://schemas.openxmlformats.org/officeDocument/2006/relationships/hyperlink" Target="toktom://db/119923" TargetMode="External"/><Relationship Id="rId4" Type="http://schemas.openxmlformats.org/officeDocument/2006/relationships/hyperlink" Target="toktom://db/88172" TargetMode="External"/><Relationship Id="rId5" Type="http://schemas.openxmlformats.org/officeDocument/2006/relationships/hyperlink" Target="toktom://db/88173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4</Pages>
  <Words>1552</Words>
  <Characters>11099</Characters>
  <CharactersWithSpaces>12572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2019-01-22T12:04:39Z</dcterms:created>
  <dc:creator/>
  <dc:description/>
  <dc:language>ru-RU</dc:language>
  <cp:lastModifiedBy/>
  <dcterms:modified xsi:type="dcterms:W3CDTF">2019-01-22T12:06:15Z</dcterms:modified>
  <cp:revision>1</cp:revision>
  <dc:subject/>
  <dc:title/>
</cp:coreProperties>
</file>