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0" w:after="0"/>
        <w:ind w:left="0" w:right="4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  <w:lang w:val="ky-KG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ind w:left="5757" w:right="14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757" w:right="14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141" w:hanging="0"/>
        <w:jc w:val="center"/>
        <w:rPr>
          <w:rFonts w:ascii="Times New Roman" w:hAnsi="Times New Roman"/>
          <w:b/>
          <w:sz w:val="28"/>
          <w:szCs w:val="28"/>
        </w:rPr>
      </w:pPr>
      <w:bookmarkStart w:id="0" w:name="__DdeLink__4788_1252665797"/>
      <w:r>
        <w:rPr>
          <w:rFonts w:ascii="Times New Roman" w:hAnsi="Times New Roman"/>
          <w:b/>
          <w:sz w:val="28"/>
          <w:szCs w:val="28"/>
        </w:rPr>
        <w:t xml:space="preserve">Временный порядок </w:t>
      </w:r>
    </w:p>
    <w:p>
      <w:pPr>
        <w:pStyle w:val="Normal"/>
        <w:widowControl w:val="false"/>
        <w:spacing w:lineRule="auto" w:line="240" w:before="0" w:after="0"/>
        <w:ind w:left="0" w:right="141" w:hanging="0"/>
        <w:jc w:val="center"/>
        <w:rPr>
          <w:rFonts w:ascii="Times New Roman" w:hAnsi="Times New Roman"/>
          <w:b/>
          <w:sz w:val="28"/>
          <w:szCs w:val="28"/>
        </w:rPr>
      </w:pPr>
      <w:bookmarkStart w:id="1" w:name="__DdeLink__4788_1252665797"/>
      <w:r>
        <w:rPr>
          <w:rFonts w:ascii="Times New Roman" w:hAnsi="Times New Roman"/>
          <w:b/>
          <w:sz w:val="28"/>
          <w:szCs w:val="28"/>
        </w:rPr>
        <w:t>применения и администрирования депозитного платежа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при ввозе маркируемой алкогольной продукции из государств-членов Евразийского экономического союза</w:t>
      </w:r>
    </w:p>
    <w:p>
      <w:pPr>
        <w:pStyle w:val="Normal"/>
        <w:widowControl w:val="false"/>
        <w:spacing w:lineRule="auto" w:line="240" w:before="0" w:after="0"/>
        <w:ind w:left="0" w:right="14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141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ind w:left="0" w:right="14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Временный порядок (далее - Порядок) разработан                      в целях обеспечения надлежащего применения акцизных марок и поступлений акцизного налога в государственный бюджет и регламентирует применение и администрирование депозитного платежа.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Порядке используются следующие термины и понятия: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1544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депозитный платеж – предварительный платеж, вносимый налогоплательщиком, для обеспечения надлежащего использования акцизных марок при импорте маркируемой алкогольной продукции в Кыргызскую Республику из государств-членов Евразийского экономического союза  (далее – ЕАЭС);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1544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импортер – налогоплательщик, осуществляющий ввоз подакцизной маркируемой алкогольной продукции из государств-членов ЕАЭС;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1544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налоговый орган – центральный государственный орган налоговой службы Кыргызской Республики;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1544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органы – территориальные и/или функциональные подразделения уполномоченного налогового органа;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1544" w:right="141" w:hanging="360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</w:rPr>
        <w:t xml:space="preserve">лицевая карточка – </w:t>
      </w:r>
      <w:r>
        <w:rPr>
          <w:rFonts w:ascii="Times New Roman" w:hAnsi="Times New Roman"/>
          <w:sz w:val="28"/>
          <w:szCs w:val="28"/>
          <w:shd w:fill="FFFFFF" w:val="clear"/>
        </w:rPr>
        <w:t>основной документ системы учета поступления, перечисления на бюджетный счет и возврата депозитных платежей, оформляемый для каждого импортера в отдельности.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 и понятия, используемые в настоящем Порядке, применяются в значении, определенном настоящим Порядком. В случае отсутствия трактовки в настоящем Порядке термины и понятия применяются в значении, определенном соответствующим законодательством Кыргызской Республики и/или законодательством ЕАЭС.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Депозитный платеж обеспечивает: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марок акцизного сбора в соответствии с их назначением;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импортером марок акцизного сбора для наклеивания на алкогольную продукцию на территории государств-членов ЕАЭС;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импорт алкогольной продукции, промаркированной марками акцизного сбора;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уплату косвенных налогов по импортированной алкогольной продукции;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отчета импортеров о надлежащем использовании марок акцизного сбора при импорте алкогольной продукции в Кыргызскую Республику из стран-членов ЕАЭС;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импортером испорченных и (или) неиспользованных марок акцизного сбора.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141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Применение депозитного платежа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Налогоплательщик, осуществляющий ввоз маркируемой алкогольной продукции из государств-членов ЕАЭС, дополнительно к документам, представляемым при получении акцизных марок, представляет в уполномоченный налоговый орган следующие документы: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обязательство о целевом использовании акцизных марок при импорте алкогольной продукции в Кыргызскую Республику из государств-членов ЕАЭС по форме согласно приложению 1 к настоящему Порядку (далее – обязательство);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платежный документ, подтверждающий внесение денег на депозитный счет уполномоченного налогового органа для обеспечения исполнения обязательства.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Обязательство обеспечивается путем внесения денежных средств на депозитный счет уполномоченного налогового органа в размере, установленном Правительством Кыргызской Республики.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денег на депозитный счет производится в национальной валюте Кыргызской Республики.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неполном представлении документов, указанных в настоящем Порядке, акцизные марки не выдаются.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указанных в пункте 5 настоящего Порядка, хранятся в налоговых органах.</w:t>
      </w:r>
    </w:p>
    <w:p>
      <w:pPr>
        <w:pStyle w:val="Normal"/>
        <w:widowControl w:val="false"/>
        <w:tabs>
          <w:tab w:val="left" w:pos="1134" w:leader="none"/>
        </w:tabs>
        <w:spacing w:lineRule="auto" w:line="240" w:before="0" w:after="0"/>
        <w:ind w:left="709" w:right="14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1134" w:leader="none"/>
        </w:tabs>
        <w:spacing w:lineRule="auto" w:line="240" w:before="0" w:after="0"/>
        <w:ind w:left="0" w:right="141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Администрирование депозитного платежа</w:t>
      </w:r>
    </w:p>
    <w:p>
      <w:pPr>
        <w:pStyle w:val="Normal"/>
        <w:widowControl w:val="false"/>
        <w:tabs>
          <w:tab w:val="left" w:pos="1134" w:leader="none"/>
        </w:tabs>
        <w:spacing w:lineRule="auto" w:line="240" w:before="0" w:after="0"/>
        <w:ind w:left="709" w:right="14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Импортер маркируемой алкогольной продукции в срок не позднее 6 (шесть) месяцев с месяца, в котором вынесено решение на получение акцизных марок и/или решение на отправку акцизных марок зарубежным заводам-производителям, обязан представить в уполномоченный налоговый орган отчет о надлежащем использовании акцизных марок при импорте маркируемой алкогольной продукции в Кыргызскую Республику из государств-членов ЕАЭС (далее - Отчет) в двух экземплярах по форме согласно приложению 2 к настоящему Порядку, с приложением следующих документов: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копия заявления о ввозе товаров и уплате косвенных налогов, подтвержденная</w:t>
      </w:r>
      <w:r>
        <w:rPr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налоговыми органами по месту налоговой регистрации в установленном порядке;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выписка банка, подтверждающая фактическую уплату косвенных налогов по импортированным товарам, и (или) иной платежный документ, предусмотренный банковским законодательством Кыргызской Республики, подтверждающий исполнение налогового обязательства по уплате косвенных налогов по импортированным товарам;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копии товаросопроводительных документов, подтверждающих перемещение маркируемой алкогольной продукции из государств-членов ЕАЭС на территорию Кыргызской Республики;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копии счетов-фактур, оформленных в соответствии с законодательством государства-члена ЕАЭС при отгрузке товаров, в случае, если их выставление (выписка) предусмотрено законодательством государства-члена ЕАЭС;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копия документа уполномоченного органа государства-члена ЕАЭС о регистрации поставщика алкогольной продукции в качестве производителя или оптового реализатора маркируемой алкогольной продукции;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справка от производителя маркируемой алкогольной продукции государства-члена ЕАЭС о наклеенных акцизных марках на импортируемую алкогольную продукцию, с указанием вида, наименования, объема алкогольной продукции, а также серии и диапазона номеров и количества акцизных марок, с печатью и подписью руководителя.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76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Отчета остается в уполномоченном налоговом органе, второй экземпляр вручается (направляется) импортеру либо его представителю.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76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налоговый орган осуществляет учет и контроль за исполнением обязательств по внесенным импортером денежных средств  на депозитный счет. Для учета внесенных импортером денежных средств уполномоченный налоговый орган ведет лицевые карточки по суммам исполнения обязательства (далее - лицевая карточка).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76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Лицевая карточка предназначена для: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денежных средств, внесенных на депозитный счет уполномоченного налогового органа;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своевременного зачисления сумм депозитного платежа с депозитного счета уполномоченного налогового органа в доход государственного бюджета по неисполненным обязательствам импортеров;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возврата (зачета) денежных средств, внесенных на депозитный счет уполномоченного налогового органа, на банковские счета налогоплательщика по исполненным обязательствам или в счет другого обязательства.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76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Лицевая карточка по депозитным платежам открывается в отдельности на каждого налогоплательщика для учета сумм, внесенных на депозитный счет уполномоченного налогового органа на основании принятого обязательства.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76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налоговым органом ведется реестр платежных документов, где указываются суммы депозитных платежей, внесенных налогоплательщиком на депозитный счет.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76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открытия лицевой карточки является внесение налогоплательщиком денежных средств на депозитный счет уполномоченного налогового органа.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76" w:leader="none"/>
        </w:tabs>
        <w:spacing w:lineRule="auto" w:line="240" w:before="0" w:after="0"/>
        <w:ind w:left="1429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Лицевая карточка по депозитным платежам открывается на каждый календарный год. Остаток средств переносится на следующий год. При открытии для налогоплательщика лицевой карточки по депозитным платежам в обязательном порядке указываются следующие реквизиты: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наименование налогоплательщика;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ИНН налогоплательщика;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юридический адрес.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Депозитный платеж подлежит возврату импортеру не позднее                            30 (тридцать) календарных дней после подачи в уполномоченный налоговый орган письменного заявления о возврате депозитного платежа, при условии: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соответствующей отчетности о надлежащем использовании акцизных марок при импорте маркируемой алкогольной продукции в Кыргызскую Республику из государств-членов ЕАЭС;</w:t>
      </w:r>
    </w:p>
    <w:p>
      <w:pPr>
        <w:pStyle w:val="Normal"/>
        <w:widowControl w:val="false"/>
        <w:spacing w:lineRule="auto" w:line="240" w:before="0"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- отсутствия налоговой задолженности по косвенным налогам.</w:t>
      </w:r>
    </w:p>
    <w:p>
      <w:pPr>
        <w:pStyle w:val="Normal"/>
        <w:widowControl w:val="false"/>
        <w:spacing w:lineRule="auto" w:line="240" w:before="0" w:after="0"/>
        <w:ind w:left="0" w:right="14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ind w:left="709" w:right="14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141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1429" w:hanging="360"/>
      </w:pPr>
      <w:rPr/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"/>
      <w:lvlJc w:val="left"/>
      <w:pPr>
        <w:ind w:left="1544" w:hanging="360"/>
      </w:pPr>
      <w:rPr/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"/>
      <w:lvlJc w:val="left"/>
      <w:pPr>
        <w:ind w:left="1429" w:hanging="360"/>
      </w:pPr>
      <w:rPr/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"/>
      <w:lvlJc w:val="left"/>
      <w:pPr>
        <w:ind w:left="1429" w:hanging="360"/>
      </w:pPr>
      <w:rPr/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lvl w:ilvl="0">
      <w:start w:val="1"/>
      <w:numFmt w:val="decimal"/>
      <w:lvlText w:val=""/>
      <w:lvlJc w:val="left"/>
      <w:pPr>
        <w:ind w:left="1429" w:hanging="360"/>
      </w:pPr>
      <w:rPr/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56354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Droid Sans Fallback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semiHidden/>
    <w:link w:val="a3"/>
    <w:rsid w:val="00d33b6b"/>
    <w:basedOn w:val="DefaultParagraphFont"/>
    <w:rPr>
      <w:rFonts w:cs="Times New Roman"/>
      <w:lang w:eastAsia="ru-RU"/>
    </w:rPr>
  </w:style>
  <w:style w:type="character" w:styleId="Style15" w:customStyle="1">
    <w:name w:val="Нижний колонтитул Знак"/>
    <w:uiPriority w:val="99"/>
    <w:link w:val="a5"/>
    <w:rsid w:val="00d33b6b"/>
    <w:basedOn w:val="DefaultParagraphFont"/>
    <w:rPr>
      <w:rFonts w:cs="Times New Roman"/>
      <w:lang w:eastAsia="ru-RU"/>
    </w:rPr>
  </w:style>
  <w:style w:type="character" w:styleId="ListLabel1">
    <w:name w:val="ListLabel 1"/>
    <w:rPr>
      <w:rFonts w:cs="Times New Roman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Верхний колонтитул"/>
    <w:uiPriority w:val="99"/>
    <w:semiHidden/>
    <w:unhideWhenUsed/>
    <w:link w:val="a4"/>
    <w:rsid w:val="00d33b6b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uiPriority w:val="99"/>
    <w:unhideWhenUsed/>
    <w:link w:val="a6"/>
    <w:rsid w:val="00d33b6b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2017-01-24T11:31:00Z</dcterms:created>
  <dc:creator>User</dc:creator>
  <dc:language>ru-RU</dc:language>
  <cp:lastModifiedBy>User</cp:lastModifiedBy>
  <dcterms:modified xsi:type="dcterms:W3CDTF">2017-01-26T10:00:00Z</dcterms:modified>
  <cp:revision>4</cp:revision>
</cp:coreProperties>
</file>