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513" w:right="0" w:hanging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ind w:left="7513" w:right="0" w:hanging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bookmarkStart w:id="0" w:name="__DdeLink__4466_1429126782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Методика и порядок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bookmarkStart w:id="1" w:name="__DdeLink__4466_1429126782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определения размера платы за технологическое присоединение</w:t>
      </w:r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объектов к сетям инженерно-технического обеспечения электроснабжающих организаций на территории Кыргызской Республики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23"/>
        <w:numPr>
          <w:ilvl w:val="0"/>
          <w:numId w:val="2"/>
        </w:numPr>
        <w:tabs>
          <w:tab w:val="center" w:pos="1418" w:leader="none"/>
          <w:tab w:val="right" w:pos="8306" w:leader="none"/>
        </w:tabs>
        <w:spacing w:lineRule="auto" w:line="360"/>
        <w:ind w:left="0" w:right="0" w:firstLine="13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>
      <w:pPr>
        <w:pStyle w:val="Style23"/>
        <w:numPr>
          <w:ilvl w:val="0"/>
          <w:numId w:val="2"/>
        </w:numPr>
        <w:tabs>
          <w:tab w:val="right" w:pos="1418" w:leader="none"/>
        </w:tabs>
        <w:spacing w:before="0" w:after="120"/>
        <w:ind w:left="1418" w:right="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определения размера платы за технологическое присоединение объекта к электрическим сетям</w:t>
      </w:r>
    </w:p>
    <w:p>
      <w:pPr>
        <w:pStyle w:val="Style23"/>
        <w:numPr>
          <w:ilvl w:val="0"/>
          <w:numId w:val="2"/>
        </w:numPr>
        <w:tabs>
          <w:tab w:val="right" w:pos="1418" w:leader="none"/>
        </w:tabs>
        <w:spacing w:before="0" w:after="120"/>
        <w:ind w:left="1418" w:right="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расчета размера платы за технологическое присоединение к электрическим сетям на уровне напряжения ниже 35 кВ</w:t>
      </w:r>
    </w:p>
    <w:p>
      <w:pPr>
        <w:pStyle w:val="Style23"/>
        <w:numPr>
          <w:ilvl w:val="0"/>
          <w:numId w:val="2"/>
        </w:numPr>
        <w:tabs>
          <w:tab w:val="right" w:pos="1418" w:leader="none"/>
        </w:tabs>
        <w:spacing w:before="0" w:after="120"/>
        <w:ind w:left="1418" w:right="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размера платы за технологическое присоединение к электрическим сетям на уровне напряжения 35 кВ и выше</w:t>
      </w:r>
    </w:p>
    <w:p>
      <w:pPr>
        <w:pStyle w:val="Style23"/>
        <w:numPr>
          <w:ilvl w:val="0"/>
          <w:numId w:val="2"/>
        </w:numPr>
        <w:tabs>
          <w:tab w:val="right" w:pos="1418" w:leader="none"/>
        </w:tabs>
        <w:spacing w:before="0" w:after="240"/>
        <w:ind w:left="1418" w:right="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Ответственность электроснабжающей организации за нарушение настоящих Методики и порядка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Общие положения</w:t>
      </w:r>
    </w:p>
    <w:p>
      <w:pPr>
        <w:pStyle w:val="ListParagraph"/>
        <w:spacing w:lineRule="auto" w:line="240" w:before="0" w:after="0"/>
        <w:ind w:left="1068" w:right="0" w:hanging="0"/>
        <w:contextualSpacing/>
        <w:jc w:val="both"/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  Методика и порядок определения размера платы за технологическое присоединение объектов к сетям инженерно-технического обеспечения электроснабжающих организаций на территории  Кыргызской Республики (далее – Методика и порядок) разработаны в целях обеспечения развития инженерной инфраструктуры электрических сетей городов и населенных пунктов Кыргызской Республики, регламентации взаимодействия регулирующих органов, электроснабжающих организаций  и правообладателей земельных участков (далее – Заказчик).</w:t>
      </w:r>
    </w:p>
    <w:p>
      <w:pPr>
        <w:pStyle w:val="Style19"/>
        <w:ind w:left="0" w:right="0" w:firstLine="708"/>
        <w:rPr/>
      </w:pPr>
      <w:r>
        <w:rPr/>
        <w:t>2. Настоящая Методика и порядок разработаны в соответствии с законами Кыргызской Республики «Об электроэнергетике», «Об энергетике», «О естественных монополиях в Кыргызской Республике», «Правилами пользования электрической энергией», утвержденными постановлением Правительства Кыргызской Республики  от 22.08.2012г. № 576, «Правилами представления технических условий и порядка подключения к сетям инженерно-технического обеспечения в Кыргызской Республике», утвержденными постановлением Правительства Кыргызской Республики  от 10.02.2009г. № 100.</w:t>
      </w:r>
    </w:p>
    <w:p>
      <w:pPr>
        <w:pStyle w:val="Style19"/>
        <w:ind w:left="0" w:right="0" w:firstLine="708"/>
        <w:rPr/>
      </w:pPr>
      <w:r>
        <w:rPr>
          <w:szCs w:val="28"/>
        </w:rPr>
        <w:t xml:space="preserve">3. Методика и порядок определяют основные принципы расчета размера платы за технологическое присоединение юридических и физических лиц к  электрическим сетям организаций, владеющих на праве собственности или на ином установленном законодательством основании объектами электросетевого комплекса, с использованием которых они оказывают услуги по передаче и реализации электрической энергии и осуществляют в установленном порядке </w:t>
      </w:r>
      <w:r>
        <w:rPr/>
        <w:t>технологическое присоединение электропринимающих устройств юридических  и физических лиц к электрическим сетям.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Настоящая Методика и порядок предусматривают установление единого подхода к расчету размера платы за технологическое присоединение объектов к сетям электроснабжающих организаций на территории Кыргызской Республики.</w:t>
      </w:r>
    </w:p>
    <w:p>
      <w:pPr>
        <w:pStyle w:val="Style19"/>
        <w:ind w:left="0" w:right="0" w:firstLine="360"/>
        <w:rPr/>
      </w:pPr>
      <w:r>
        <w:rPr/>
        <w:t xml:space="preserve">    </w:t>
      </w:r>
      <w:r>
        <w:rPr/>
        <w:t>5. Методика и порядок определения размера платы за технологическое присоединение к электрическим сетям не предусматривают регулирование вопросов присоединения источников генерации и передачи по сетям ОАО «Национальная электрическая сеть Кыргызстана».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Плата за технологическое присоединение объектов к  электрическим сетям взимается с юридических и физических лиц (кроме населения), подавших заявку на подключение объекта. Плата устанавливается для объекта, впервые вводимого в эксплуатацию при осуществлении Заказчиком нового строительства (реконструкции), в том числе при введении в эксплуатацию объекта, ранее выведенного из эксплуатации.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Изменение формы собственности Заказчика или электроснабжающей организации не влечет за собой повторную оплату за технологическое присоединение объекта капитального строительства.</w:t>
      </w:r>
    </w:p>
    <w:p>
      <w:pPr>
        <w:pStyle w:val="Style19"/>
        <w:ind w:left="0" w:right="0" w:firstLine="708"/>
        <w:rPr/>
      </w:pPr>
      <w:r>
        <w:rPr>
          <w:szCs w:val="28"/>
        </w:rPr>
        <w:t xml:space="preserve">8. </w:t>
      </w:r>
      <w:r>
        <w:rPr/>
        <w:t>На основании договора, заключаемого между электроснабжающей организацией и присоединяемым потребителем, плата за технологическое присоединение взимается в случаях:</w:t>
      </w:r>
    </w:p>
    <w:p>
      <w:pPr>
        <w:pStyle w:val="Normal"/>
        <w:spacing w:before="0" w:after="0"/>
        <w:ind w:left="72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присоединения впервые вводимых в эксплуатацию электропринимающих устройств;</w:t>
      </w:r>
    </w:p>
    <w:p>
      <w:pPr>
        <w:pStyle w:val="Normal"/>
        <w:spacing w:before="0" w:after="0"/>
        <w:ind w:left="72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ранее присоединенных реконструируемых электропринимающих устройств, присоединенная мощность которых увеличивается.</w:t>
      </w:r>
    </w:p>
    <w:p>
      <w:pPr>
        <w:pStyle w:val="Normal"/>
        <w:spacing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9. Электроснабжающие организации представляют в уполномоченный государственный орган по регулированию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топливно-энергетического комплекса </w:t>
      </w:r>
      <w:r>
        <w:rPr>
          <w:rFonts w:cs="Times New Roman" w:ascii="Times New Roman" w:hAnsi="Times New Roman"/>
          <w:sz w:val="28"/>
          <w:szCs w:val="28"/>
        </w:rPr>
        <w:t>ежеквартальные и годовые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отчеты о проделанной работе по технологическим присоединениям, форма, содержание и сроки предоставления которых, утверждаются в установленном уполномоченным органом порядке.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Методика определения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размера платы за технологическое присоединение объекта к электрическим сетям</w:t>
      </w:r>
    </w:p>
    <w:p>
      <w:pPr>
        <w:pStyle w:val="ListParagraph"/>
        <w:spacing w:lineRule="auto" w:line="240" w:before="0" w:after="0"/>
        <w:ind w:left="1068" w:right="0" w:hanging="0"/>
        <w:contextualSpacing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10. Основными принципами в установлении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размера платы за технологическое присоединение объекта к электрическим сетям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Кыргызской Республики являются: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финансирование реконструкции и развития электрических сетей со стороны энергоснабжающих организаций и заказчиков (юридических и физических лиц) независимо от формы собственности;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соблюдение баланса интересов энергоснабжающих организаций и заказчиков - потребителей электроэнергии;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обеспечение прозрачности определения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размера платы за технологическое присоединение, а также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исключение возможных коррупционных рисков.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Основанием определения объема средств для проведения мероприятий по технологическому присоединению объекта на регулируемый год является утвержденная органами местного самоуправления соответствующего муниципального образования Программа комплексного развития систем коммунальной инфраструктуры муниципального образования в части, относящейся к сетям электроснабжения соответствующей территории Кыргызской Республики (далее – Программа).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отсутствии Программы принимается плановый объем средств, предусмотренных для проведения реконструкции электрических сетей на регулируемый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Расчет размера платы за технологическое присоединение объекта к  действующим сетям электроснабжения производится на основании затрат в базовом периоде (факт предыдущего года), совокупности работ и мероприятий по их реконструкции для улучшения технических характеристик электрических сетей электроснабжающих организаций.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Расходы на реконструкцию сетей, учтенные при определении размера платы, подлежат отдельному учету со стороны предприятия и не учитываются в необходимой валовой выручке предприятия по основным видам деятельности.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Если по итогам расчетного периода регулирования (период действия установленного размера платы) на основании данных статистической, бухгалтерской отчетности и иных представленных материалов выявлены необоснованные расходы электроснабжающей организации, </w:t>
      </w:r>
      <w:r>
        <w:rPr>
          <w:rFonts w:cs="Times New Roman" w:ascii="Times New Roman" w:hAnsi="Times New Roman"/>
          <w:sz w:val="28"/>
          <w:szCs w:val="28"/>
        </w:rPr>
        <w:t>уполномоченный государственный орган по регулированию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топливно-энергетического комплекса принимает решение об исключении этих расходов из суммы расходов, учитываемых при установлении платы за подключение на следующий год.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Если регулируемые электроснабжающие организации в течение периода регулирования понесли экономически обоснованные расходы, не учтенные при установлении размера платы на расчетный период регулирования, эти расходы учитываются </w:t>
      </w:r>
      <w:r>
        <w:rPr>
          <w:rFonts w:cs="Times New Roman" w:ascii="Times New Roman" w:hAnsi="Times New Roman"/>
          <w:sz w:val="28"/>
          <w:szCs w:val="28"/>
        </w:rPr>
        <w:t>уполномоченным государственным органом по регулированию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установлении размера платы на последующий год регулирования.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Для обеспечения технологического присоединения новых или реконструируемых присоединяемых объектов, электроснабжающая организация при техническом обосновании вправе аккумулировать финансовые средства потребителей и направлять их на развитие и реконструкцию отдельных участков электросетей, при этом, не проводя никаких конкретных мероприятий в электросетях обеспечивающих электроэнергией непосредственно присоединяемые объекты.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 Размер платы за технологическое присоединение устанавливается каждому заявителю (Заказчику) один раз при выдаче электроснабжающей организацией технических условий на подключение.</w:t>
      </w:r>
    </w:p>
    <w:p>
      <w:pPr>
        <w:pStyle w:val="13"/>
        <w:keepNext/>
        <w:keepLines/>
        <w:shd w:fill="FFFFFF" w:val="clear"/>
        <w:tabs>
          <w:tab w:val="left" w:pos="-1418" w:leader="none"/>
        </w:tabs>
        <w:spacing w:lineRule="auto" w:line="240" w:before="0" w:after="0"/>
        <w:ind w:left="1418" w:right="1" w:hanging="850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расчета размера платы за технологическое присоединение к электрическим сетям на уровне напряжения ниже 35 кВ</w:t>
      </w:r>
    </w:p>
    <w:p>
      <w:pPr>
        <w:pStyle w:val="13"/>
        <w:keepNext/>
        <w:keepLines/>
        <w:shd w:fill="FFFFFF" w:val="clear"/>
        <w:tabs>
          <w:tab w:val="left" w:pos="1222" w:leader="none"/>
        </w:tabs>
        <w:spacing w:lineRule="auto" w:line="240" w:before="0" w:after="0"/>
        <w:ind w:left="600" w:right="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fill="FFFFFF" w:val="clear"/>
        <w:tabs>
          <w:tab w:val="left" w:pos="0" w:leader="none"/>
        </w:tabs>
        <w:spacing w:lineRule="auto" w:line="240"/>
        <w:ind w:left="0" w:right="20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16. </w:t>
      </w:r>
      <w:r>
        <w:rPr>
          <w:sz w:val="28"/>
          <w:szCs w:val="28"/>
          <w:lang w:eastAsia="ru-RU"/>
        </w:rPr>
        <w:t>Уполномоченный государственный орган по регулированию топливно-энергетического комплекса ежегодно устанавливает электроснабжающим организациям индивидуальные сроки для предоставления материалов и обоснований, необходимых для расчета базового размера платы за технологическое присоединение объектов к сетям электроснабжения. В случае, если электроснабжающая организация не представляет материалы на установление базового размера платы за подключение объекта к сетям электроснабжения, уполномоченный государственный орган по регулированию топливно-энергетического комплекса выдает соответствующее предписание, в котором указывается срок устранения нарушения. В случае невыполнения требований предписания уполномоченный орган вправе предъявить к взысканию с электроснабжающей организации 5 процентов от суммы ее месячного дохода.</w:t>
      </w:r>
    </w:p>
    <w:p>
      <w:pPr>
        <w:pStyle w:val="11"/>
        <w:shd w:fill="FFFFFF" w:val="clear"/>
        <w:tabs>
          <w:tab w:val="left" w:pos="0" w:leader="none"/>
        </w:tabs>
        <w:spacing w:lineRule="auto" w:line="240"/>
        <w:ind w:left="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На основании представленных материалов и обоснований,  уполномоченный государственный орган по регулированию топливно-энергетического комплекса производит расчеты и утверждает базовый размер платы за технологическое присоединение объекта к сетям электроснабжения.</w:t>
      </w:r>
    </w:p>
    <w:p>
      <w:pPr>
        <w:pStyle w:val="11"/>
        <w:shd w:fill="FFFFFF" w:val="clear"/>
        <w:tabs>
          <w:tab w:val="left" w:pos="0" w:leader="none"/>
        </w:tabs>
        <w:spacing w:lineRule="auto" w:line="240"/>
        <w:ind w:left="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Базовый размер платы за технологическое присоединение к электрическим сетям устанавливается уполномоченным государственным органом </w:t>
      </w:r>
      <w:r>
        <w:rPr>
          <w:sz w:val="28"/>
          <w:szCs w:val="24"/>
        </w:rPr>
        <w:t>по регулированию топливно-энергетического комплекса</w:t>
      </w:r>
      <w:r>
        <w:rPr>
          <w:rFonts w:cs="Arial" w:ascii="Arial" w:hAnsi="Arial"/>
          <w:sz w:val="28"/>
          <w:szCs w:val="24"/>
        </w:rPr>
        <w:t xml:space="preserve"> </w:t>
      </w:r>
      <w:r>
        <w:rPr>
          <w:sz w:val="28"/>
          <w:szCs w:val="28"/>
        </w:rPr>
        <w:t>отдельно для каждой электроснабжающей организации.</w:t>
      </w:r>
    </w:p>
    <w:p>
      <w:pPr>
        <w:pStyle w:val="11"/>
        <w:shd w:fill="FFFFFF" w:val="clear"/>
        <w:tabs>
          <w:tab w:val="left" w:pos="709" w:leader="none"/>
        </w:tabs>
        <w:spacing w:lineRule="auto" w:line="240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Расчет базового размера платы за 1 кВт мощности технологического присоединения производится на основе фактических затрат базового года стоимости технологического присоединения на уровнях напряжения 0,4 кВ и 10(6) кВ. </w:t>
      </w:r>
    </w:p>
    <w:p>
      <w:pPr>
        <w:pStyle w:val="11"/>
        <w:shd w:fill="FFFFFF" w:val="clear"/>
        <w:spacing w:lineRule="auto" w:line="24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Размер платы за 1 кВт технологического присоединения устанавливается уполномоченным государственным органом </w:t>
      </w:r>
      <w:r>
        <w:rPr>
          <w:sz w:val="28"/>
          <w:szCs w:val="24"/>
        </w:rPr>
        <w:t>по регулированию топливно-энергетического комплекса</w:t>
      </w:r>
      <w:r>
        <w:rPr>
          <w:rFonts w:cs="Arial" w:ascii="Arial" w:hAnsi="Arial"/>
          <w:sz w:val="28"/>
          <w:szCs w:val="24"/>
        </w:rPr>
        <w:t xml:space="preserve"> 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на основании данных, представленных электроснабжающей организацией в соответствии с настоящей Методикой по следующей формуле:</w:t>
      </w:r>
    </w:p>
    <w:p>
      <w:pPr>
        <w:pStyle w:val="21"/>
        <w:shd w:fill="FFFFFF" w:val="clear"/>
        <w:spacing w:lineRule="auto" w:line="240" w:before="0" w:after="0"/>
        <w:ind w:left="284" w:right="0" w:firstLine="191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 = </w:t>
      </w:r>
      <w:r>
        <w:rPr>
          <w:b w:val="false"/>
          <w:sz w:val="28"/>
          <w:szCs w:val="28"/>
        </w:rPr>
        <w:t xml:space="preserve">С </w:t>
      </w:r>
      <w:r>
        <w:rPr>
          <w:b w:val="false"/>
          <w:sz w:val="20"/>
          <w:szCs w:val="20"/>
        </w:rPr>
        <w:t>10</w:t>
      </w:r>
      <w:r>
        <w:rPr>
          <w:sz w:val="20"/>
          <w:szCs w:val="20"/>
        </w:rPr>
        <w:t xml:space="preserve">(6) </w:t>
      </w:r>
      <w:r>
        <w:rPr>
          <w:sz w:val="28"/>
          <w:szCs w:val="28"/>
        </w:rPr>
        <w:t>+ Со</w:t>
      </w:r>
      <w:r>
        <w:rPr>
          <w:sz w:val="20"/>
          <w:szCs w:val="20"/>
        </w:rPr>
        <w:t>,4</w:t>
      </w:r>
      <w:r>
        <w:rPr>
          <w:sz w:val="28"/>
          <w:szCs w:val="28"/>
        </w:rPr>
        <w:t xml:space="preserve">  (сом/кВт)      </w:t>
      </w:r>
    </w:p>
    <w:p>
      <w:pPr>
        <w:pStyle w:val="11"/>
        <w:shd w:fill="FFFFFF" w:val="clear"/>
        <w:spacing w:lineRule="auto" w:line="240"/>
        <w:ind w:left="20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где:</w:t>
      </w:r>
    </w:p>
    <w:p>
      <w:pPr>
        <w:pStyle w:val="21"/>
        <w:shd w:fill="FFFFFF" w:val="clear"/>
        <w:spacing w:lineRule="auto" w:line="240" w:before="0" w:after="0"/>
        <w:ind w:left="1843" w:right="20" w:hanging="709"/>
        <w:jc w:val="both"/>
        <w:rPr>
          <w:b w:val="false"/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0"/>
          <w:szCs w:val="20"/>
        </w:rPr>
        <w:t>10(6)</w:t>
      </w:r>
      <w:r>
        <w:rPr>
          <w:sz w:val="28"/>
          <w:szCs w:val="28"/>
        </w:rPr>
        <w:t>-</w:t>
      </w:r>
      <w:r>
        <w:rPr>
          <w:b w:val="false"/>
          <w:sz w:val="28"/>
          <w:szCs w:val="28"/>
        </w:rPr>
        <w:t>базовая стоимость технологического присоединения на   уровне напряжения</w:t>
        <w:tab/>
        <w:t>10(6)</w:t>
        <w:tab/>
        <w:t>кВ</w:t>
        <w:tab/>
        <w:t xml:space="preserve">(сом/кВт), которая в свою очередь определяется по следующей формуле: </w:t>
      </w:r>
      <w:r>
        <w:rPr>
          <w:sz w:val="28"/>
          <w:szCs w:val="28"/>
          <w:lang w:val="en-US"/>
        </w:rPr>
        <w:t>C</w:t>
      </w:r>
      <w:r>
        <w:rPr>
          <w:sz w:val="20"/>
          <w:szCs w:val="20"/>
        </w:rPr>
        <w:t>10(6)</w:t>
      </w:r>
      <w:r>
        <w:rPr>
          <w:sz w:val="28"/>
          <w:szCs w:val="28"/>
        </w:rPr>
        <w:t>=</w:t>
      </w:r>
      <w:r>
        <w:rPr>
          <w:b w:val="false"/>
          <w:sz w:val="28"/>
          <w:szCs w:val="28"/>
          <w:lang w:val="en-US"/>
        </w:rPr>
        <w:t>S</w:t>
      </w:r>
      <w:r>
        <w:rPr>
          <w:b w:val="false"/>
          <w:sz w:val="28"/>
          <w:szCs w:val="28"/>
        </w:rPr>
        <w:t xml:space="preserve">-сумма затрат на реконструкцию мощностей (сом) / </w:t>
      </w:r>
      <w:r>
        <w:rPr>
          <w:b w:val="false"/>
          <w:sz w:val="28"/>
          <w:szCs w:val="28"/>
          <w:lang w:val="en-US"/>
        </w:rPr>
        <w:t>Q</w:t>
      </w:r>
      <w:r>
        <w:rPr>
          <w:b w:val="false"/>
          <w:sz w:val="20"/>
          <w:szCs w:val="20"/>
        </w:rPr>
        <w:t>10(6)-</w:t>
      </w:r>
      <w:r>
        <w:rPr>
          <w:b w:val="false"/>
          <w:sz w:val="28"/>
          <w:szCs w:val="28"/>
        </w:rPr>
        <w:t>мощность(кВт);</w:t>
      </w:r>
    </w:p>
    <w:p>
      <w:pPr>
        <w:pStyle w:val="21"/>
        <w:shd w:fill="FFFFFF" w:val="clear"/>
        <w:spacing w:lineRule="auto" w:line="240" w:before="0" w:after="0"/>
        <w:ind w:left="1843" w:right="20" w:hanging="709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21"/>
        <w:shd w:fill="FFFFFF" w:val="clear"/>
        <w:spacing w:lineRule="auto" w:line="240" w:before="0" w:after="0"/>
        <w:ind w:left="1843" w:right="20" w:hanging="709"/>
        <w:jc w:val="both"/>
        <w:rPr>
          <w:b w:val="false"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0"/>
          <w:szCs w:val="20"/>
        </w:rPr>
        <w:t>0,4</w:t>
      </w:r>
      <w:r>
        <w:rPr>
          <w:b w:val="false"/>
          <w:sz w:val="28"/>
          <w:szCs w:val="28"/>
        </w:rPr>
        <w:t xml:space="preserve"> –базовая стоимость технологического присоединения на уровне напряжения 0,4 кВ, (сом/кВт), которая</w:t>
      </w:r>
      <w:r>
        <w:rPr/>
        <w:t xml:space="preserve"> </w:t>
      </w:r>
      <w:r>
        <w:rPr>
          <w:b w:val="false"/>
          <w:sz w:val="28"/>
          <w:szCs w:val="28"/>
        </w:rPr>
        <w:t>в свою очередь определяется по следующей формуле: C0,4=S-сумма затрат на реконструкцию мощностей (сом) / Q0,4-мощность (кВт).</w:t>
      </w:r>
    </w:p>
    <w:p>
      <w:pPr>
        <w:sectPr>
          <w:footerReference w:type="default" r:id="rId2"/>
          <w:type w:val="nextPage"/>
          <w:pgSz w:w="11906" w:h="16838"/>
          <w:pgMar w:left="1418" w:right="851" w:header="0" w:top="1134" w:footer="150" w:bottom="1134" w:gutter="0"/>
          <w:pgNumType w:start="1" w:fmt="decimal"/>
          <w:formProt w:val="false"/>
          <w:textDirection w:val="lrTb"/>
          <w:docGrid w:type="default" w:linePitch="360" w:charSpace="4294965247"/>
        </w:sectPr>
        <w:pStyle w:val="21"/>
        <w:shd w:fill="FFFFFF" w:val="clear"/>
        <w:spacing w:lineRule="auto" w:line="240" w:before="0" w:after="0"/>
        <w:ind w:left="1843" w:right="20" w:hanging="709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1"/>
        <w:shd w:fill="FFFFFF" w:val="clear"/>
        <w:spacing w:lineRule="auto" w:line="240"/>
        <w:ind w:left="1843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Базовый размер платы за 1 метр распределительной  электрической сети  устанавливается уполномоченным государственным органом </w:t>
      </w:r>
      <w:r>
        <w:rPr>
          <w:sz w:val="28"/>
          <w:szCs w:val="24"/>
        </w:rPr>
        <w:t xml:space="preserve">по регулированию топливно-энергетического комплекса 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на основании данных, представленных электроснабжающей организацией в соответствии с настоящей Методикой по следующей формуле:</w:t>
      </w:r>
    </w:p>
    <w:p>
      <w:pPr>
        <w:pStyle w:val="21"/>
        <w:shd w:fill="FFFFFF" w:val="clear"/>
        <w:spacing w:lineRule="auto" w:line="240" w:before="0" w:after="0"/>
        <w:ind w:left="284" w:right="0" w:firstLine="191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Т</w:t>
      </w:r>
      <w:r>
        <w:rPr>
          <w:sz w:val="20"/>
          <w:szCs w:val="28"/>
        </w:rPr>
        <w:t>1</w:t>
      </w:r>
      <w:r>
        <w:rPr>
          <w:sz w:val="28"/>
          <w:szCs w:val="28"/>
        </w:rPr>
        <w:t xml:space="preserve"> =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10(6) лин</w:t>
      </w:r>
      <w:r>
        <w:rPr>
          <w:sz w:val="28"/>
          <w:szCs w:val="28"/>
        </w:rPr>
        <w:t xml:space="preserve"> +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о</w:t>
      </w:r>
      <w:r>
        <w:rPr>
          <w:sz w:val="20"/>
          <w:szCs w:val="20"/>
        </w:rPr>
        <w:t>,4</w:t>
      </w:r>
      <w:r>
        <w:rPr>
          <w:b w:val="false"/>
          <w:sz w:val="20"/>
          <w:szCs w:val="20"/>
        </w:rPr>
        <w:t xml:space="preserve"> </w:t>
      </w:r>
      <w:r>
        <w:rPr>
          <w:sz w:val="20"/>
          <w:szCs w:val="20"/>
        </w:rPr>
        <w:t>лин</w:t>
      </w:r>
      <w:r>
        <w:rPr>
          <w:sz w:val="28"/>
          <w:szCs w:val="28"/>
        </w:rPr>
        <w:t xml:space="preserve">  (сом/м)      </w:t>
      </w:r>
    </w:p>
    <w:p>
      <w:pPr>
        <w:pStyle w:val="11"/>
        <w:shd w:fill="FFFFFF" w:val="clear"/>
        <w:spacing w:lineRule="auto" w:line="240"/>
        <w:ind w:left="20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где:</w:t>
      </w:r>
    </w:p>
    <w:p>
      <w:pPr>
        <w:pStyle w:val="11"/>
        <w:shd w:fill="FFFFFF" w:val="clear"/>
        <w:spacing w:lineRule="auto" w:line="240"/>
        <w:ind w:left="2268" w:right="23" w:hanging="1134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0"/>
          <w:szCs w:val="20"/>
        </w:rPr>
        <w:t>10(6)лин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базовая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стоимость метра распределительной сети на уровне   напряжения 10(6) кВ (сом/м), которая в сою очередь определяется по формуле: C</w:t>
      </w:r>
      <w:r>
        <w:rPr>
          <w:sz w:val="20"/>
          <w:szCs w:val="20"/>
        </w:rPr>
        <w:t>10(6)</w:t>
      </w:r>
      <w:r>
        <w:rPr>
          <w:sz w:val="28"/>
          <w:szCs w:val="28"/>
        </w:rPr>
        <w:t xml:space="preserve">=S-сумма затрат на реконструкцию линий электропередач (сом) / </w:t>
      </w:r>
      <w:r>
        <w:rPr>
          <w:sz w:val="28"/>
          <w:szCs w:val="28"/>
          <w:lang w:val="en-US"/>
        </w:rPr>
        <w:t>L</w:t>
      </w:r>
      <w:r>
        <w:rPr>
          <w:sz w:val="20"/>
          <w:szCs w:val="20"/>
        </w:rPr>
        <w:t>10(6)</w:t>
      </w:r>
      <w:r>
        <w:rPr>
          <w:sz w:val="28"/>
          <w:szCs w:val="28"/>
        </w:rPr>
        <w:t xml:space="preserve">-протяженность реконструированных линий электропередач (м); </w:t>
      </w:r>
    </w:p>
    <w:p>
      <w:pPr>
        <w:pStyle w:val="11"/>
        <w:shd w:fill="FFFFFF" w:val="clear"/>
        <w:spacing w:lineRule="auto" w:line="240"/>
        <w:ind w:left="2127" w:right="23" w:hanging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0"/>
          <w:szCs w:val="20"/>
        </w:rPr>
        <w:t>0,4лин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базовая стоимость метра распределительной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уровне напряжения 0,4 кВ, (сом/м), которая в свою очередь определяется по формуле: C</w:t>
      </w:r>
      <w:r>
        <w:rPr>
          <w:sz w:val="20"/>
          <w:szCs w:val="20"/>
        </w:rPr>
        <w:t>0,4</w:t>
      </w:r>
      <w:r>
        <w:rPr>
          <w:sz w:val="28"/>
          <w:szCs w:val="28"/>
        </w:rPr>
        <w:t xml:space="preserve">=S-сумма затрат на реконструкцию линий электропередач (сом) / </w:t>
      </w:r>
      <w:r>
        <w:rPr>
          <w:sz w:val="28"/>
          <w:szCs w:val="28"/>
          <w:lang w:val="en-US"/>
        </w:rPr>
        <w:t>L</w:t>
      </w:r>
      <w:r>
        <w:rPr>
          <w:sz w:val="20"/>
          <w:szCs w:val="20"/>
        </w:rPr>
        <w:t>0,4</w:t>
      </w:r>
      <w:r>
        <w:rPr>
          <w:sz w:val="28"/>
          <w:szCs w:val="28"/>
        </w:rPr>
        <w:t>- протяженность реконструированных линий электропередач (м).</w:t>
      </w:r>
    </w:p>
    <w:p>
      <w:pPr>
        <w:pStyle w:val="11"/>
        <w:shd w:fill="FFFFFF" w:val="clear"/>
        <w:spacing w:lineRule="auto" w:line="240"/>
        <w:ind w:left="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Расчет платы за технологическое присоединение рассчитывается в отношении каждого случая присоединения для одного Заказчика на основании базовых размеров платы за 1 кВт технологического присоединения  и 1 метр длины распределительной сети по следующей формуле:</w:t>
      </w:r>
    </w:p>
    <w:p>
      <w:pPr>
        <w:pStyle w:val="122"/>
        <w:keepNext/>
        <w:keepLines/>
        <w:shd w:fill="FFFFFF" w:val="clear"/>
        <w:spacing w:lineRule="auto" w:line="240" w:before="0" w:after="0"/>
        <w:jc w:val="center"/>
        <w:rPr>
          <w:b/>
          <w:sz w:val="28"/>
          <w:szCs w:val="28"/>
        </w:rPr>
      </w:pPr>
      <w:r>
        <w:rPr>
          <w:rStyle w:val="121"/>
          <w:sz w:val="28"/>
          <w:szCs w:val="28"/>
        </w:rPr>
        <w:t xml:space="preserve">П </w:t>
      </w:r>
      <w:r>
        <w:rPr>
          <w:sz w:val="28"/>
          <w:szCs w:val="28"/>
        </w:rPr>
        <w:t xml:space="preserve">= </w:t>
      </w:r>
      <w:r>
        <w:rPr>
          <w:b/>
          <w:sz w:val="28"/>
          <w:szCs w:val="28"/>
        </w:rPr>
        <w:t>Т * Ред  +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</w:t>
      </w:r>
      <w:r>
        <w:rPr>
          <w:b/>
          <w:sz w:val="20"/>
          <w:szCs w:val="28"/>
        </w:rPr>
        <w:t>1</w:t>
      </w:r>
      <w:r>
        <w:rPr>
          <w:b/>
          <w:sz w:val="28"/>
          <w:szCs w:val="28"/>
        </w:rPr>
        <w:t>* Л  (сом)</w:t>
      </w:r>
    </w:p>
    <w:p>
      <w:pPr>
        <w:pStyle w:val="11"/>
        <w:shd w:fill="FFFFFF" w:val="clear"/>
        <w:spacing w:lineRule="auto" w:line="240"/>
        <w:ind w:left="920" w:right="0" w:hanging="0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11"/>
        <w:shd w:fill="FFFFFF" w:val="clear"/>
        <w:spacing w:lineRule="auto" w:line="240"/>
        <w:ind w:left="1843" w:right="0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- размер платы за 1кВт технологического присоединения, (сом/кВт);</w:t>
      </w:r>
    </w:p>
    <w:p>
      <w:pPr>
        <w:pStyle w:val="11"/>
        <w:shd w:fill="FFFFFF" w:val="clear"/>
        <w:spacing w:lineRule="auto" w:line="240"/>
        <w:ind w:left="1843" w:right="20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Ред</w:t>
      </w:r>
      <w:r>
        <w:rPr>
          <w:sz w:val="28"/>
          <w:szCs w:val="28"/>
        </w:rPr>
        <w:t xml:space="preserve"> - суммарная мощность технологического присоединения одного Заказчика, (кВт);</w:t>
      </w:r>
    </w:p>
    <w:p>
      <w:pPr>
        <w:pStyle w:val="11"/>
        <w:shd w:fill="FFFFFF" w:val="clear"/>
        <w:spacing w:lineRule="auto" w:line="240"/>
        <w:ind w:left="1701" w:right="20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>
        <w:rPr>
          <w:b/>
          <w:sz w:val="20"/>
          <w:szCs w:val="28"/>
        </w:rPr>
        <w:t xml:space="preserve">1 </w:t>
      </w:r>
      <w:r>
        <w:rPr>
          <w:sz w:val="28"/>
          <w:szCs w:val="28"/>
        </w:rPr>
        <w:t>-  размер платы за 1метр  распределительной сети, (сом/м);</w:t>
      </w:r>
    </w:p>
    <w:p>
      <w:pPr>
        <w:pStyle w:val="Normal"/>
        <w:tabs>
          <w:tab w:val="left" w:pos="709" w:leader="none"/>
        </w:tabs>
        <w:spacing w:lineRule="auto" w:line="240" w:before="1020" w:after="0"/>
        <w:ind w:left="1701" w:right="0" w:hanging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 - </w:t>
      </w:r>
      <w:r>
        <w:rPr>
          <w:rFonts w:cs="Times New Roman" w:ascii="Times New Roman" w:hAnsi="Times New Roman"/>
          <w:sz w:val="28"/>
          <w:szCs w:val="28"/>
        </w:rPr>
        <w:t>кратчайшее геометрическое расстояние от точки присоединения к  распределительной сети до объекта Заказчика (м).</w:t>
      </w:r>
    </w:p>
    <w:p>
      <w:pPr>
        <w:pStyle w:val="Normal"/>
        <w:spacing w:lineRule="auto" w:line="240" w:before="102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Размер платы за технологическое присоединение объекта к сетям электроснабжения, рассчитывается электроснабжающей организацией на основе базового размера платы утвержденного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уполномоченным государственным органом по регулированию </w:t>
      </w:r>
      <w:r>
        <w:rPr>
          <w:rFonts w:eastAsia="Times New Roman" w:cs="Times New Roman" w:ascii="Times New Roman" w:hAnsi="Times New Roman"/>
          <w:sz w:val="28"/>
        </w:rPr>
        <w:t xml:space="preserve">топливно-энергетического комплекса и устанавливается отдельно для каждого заявителя (Заказчика), с последующим утверждением уполномоченным органом. </w:t>
      </w:r>
    </w:p>
    <w:p>
      <w:pPr>
        <w:pStyle w:val="Normal"/>
        <w:spacing w:lineRule="auto" w:line="240" w:before="102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 Плата за технологическое присоединение объекта к сетям электроснабжения на территории населенных пунктов взимается на основании договора, заключенного между электроснабжающей организацией и Заказчиком.</w:t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25. Заявитель (Заказчик) вносит авансовую предоплату за технологическое присоединение в размере 80,0% от суммы платы согласно договору о технологическом присоединении.</w:t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3"/>
        <w:keepNext/>
        <w:keepLines/>
        <w:shd w:fill="FFFFFF" w:val="clear"/>
        <w:tabs>
          <w:tab w:val="left" w:pos="0" w:leader="none"/>
        </w:tabs>
        <w:spacing w:lineRule="auto" w:line="240" w:before="0" w:after="0"/>
        <w:ind w:left="426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4. Расчет размера платы за технологическое присоединение к электрическим сетям на уровне напряжения 35 кВ и выше</w:t>
      </w:r>
    </w:p>
    <w:p>
      <w:pPr>
        <w:pStyle w:val="13"/>
        <w:keepNext/>
        <w:keepLines/>
        <w:shd w:fill="FFFFFF" w:val="clear"/>
        <w:tabs>
          <w:tab w:val="left" w:pos="0" w:leader="none"/>
        </w:tabs>
        <w:spacing w:lineRule="auto" w:line="240" w:before="0" w:after="0"/>
        <w:ind w:left="1135"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fill="FFFFFF" w:val="clear"/>
        <w:spacing w:lineRule="auto" w:line="240"/>
        <w:ind w:left="0"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Расчет размера платы за технологическое присоединение к электрическим сетям 35 кВ и выше производится электроснабжающей организацией, на основании индивидуально разработанной проектно-сметной документации для каждого случая подключения.</w:t>
      </w:r>
    </w:p>
    <w:p>
      <w:pPr>
        <w:pStyle w:val="11"/>
        <w:shd w:fill="FFFFFF" w:val="clear"/>
        <w:spacing w:lineRule="auto" w:line="240"/>
        <w:ind w:left="0" w:right="2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27. Д</w:t>
      </w:r>
      <w:r>
        <w:rPr>
          <w:sz w:val="28"/>
          <w:szCs w:val="28"/>
          <w:lang w:eastAsia="ru-RU"/>
        </w:rPr>
        <w:t xml:space="preserve">ля утверждения размера платы за технологическое присоединение объекта к сетям электроснабжения </w:t>
      </w:r>
      <w:r>
        <w:rPr>
          <w:sz w:val="28"/>
          <w:szCs w:val="28"/>
        </w:rPr>
        <w:t xml:space="preserve">на уровне напряжения 35 кВ и выше, электроснабжающая организация представляет уполномоченному государственному органу по регулированию топливно-энергетического комплекса </w:t>
      </w:r>
      <w:r>
        <w:rPr>
          <w:sz w:val="28"/>
          <w:szCs w:val="28"/>
          <w:lang w:eastAsia="ru-RU"/>
        </w:rPr>
        <w:t>необходимые материалы и обоснования.</w:t>
      </w:r>
    </w:p>
    <w:p>
      <w:pPr>
        <w:pStyle w:val="11"/>
        <w:shd w:fill="FFFFFF" w:val="clear"/>
        <w:spacing w:lineRule="auto" w:line="240"/>
        <w:ind w:left="0"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/>
        <w:t xml:space="preserve"> </w:t>
      </w:r>
      <w:r>
        <w:rPr>
          <w:sz w:val="28"/>
          <w:szCs w:val="28"/>
        </w:rPr>
        <w:t>Взимание установленного размера платы за технологическое присоединение объекта осуществляется электроснабжающими организациями на основе договора с Заказчиком.</w:t>
      </w:r>
    </w:p>
    <w:p>
      <w:pPr>
        <w:pStyle w:val="11"/>
        <w:shd w:fill="FFFFFF" w:val="clear"/>
        <w:spacing w:lineRule="auto" w:line="240"/>
        <w:ind w:left="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29. При присоединении непосредственно к шинам низкого напряжения подстанции 35 кВ и выше, за расчетный уровень напряжения технологического присоединения принимается уровень высокого напряжения данной подстанции.</w:t>
      </w:r>
    </w:p>
    <w:p>
      <w:pPr>
        <w:pStyle w:val="11"/>
        <w:shd w:fill="FFFFFF" w:val="clear"/>
        <w:spacing w:lineRule="auto" w:line="240"/>
        <w:ind w:left="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30. Размер платы за технологическое присоединение, утверждаемый уполномоченным органом, должен компенсировать экономически обоснованные расходы на проведение мероприятий, направленных на развитие всего электросетевого комплекса  электроснабжающей организации.</w:t>
      </w:r>
    </w:p>
    <w:p>
      <w:pPr>
        <w:pStyle w:val="11"/>
        <w:shd w:fill="FFFFFF" w:val="clear"/>
        <w:spacing w:lineRule="auto" w:line="240"/>
        <w:ind w:left="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1020" w:after="0"/>
        <w:ind w:left="709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ky-KG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y-KG"/>
        </w:rPr>
        <w:t>5</w:t>
      </w:r>
      <w:bookmarkStart w:id="2" w:name="_GoBack"/>
      <w:bookmarkEnd w:id="2"/>
      <w:r>
        <w:rPr>
          <w:rFonts w:eastAsia="Times New Roman" w:cs="Times New Roman" w:ascii="Times New Roman" w:hAnsi="Times New Roman"/>
          <w:b/>
          <w:sz w:val="28"/>
          <w:szCs w:val="28"/>
          <w:lang w:val="ky-KG"/>
        </w:rPr>
        <w:t xml:space="preserve">. Ответственность электроснабжающей организации за нарушение настоящих Методики и порядка  </w:t>
      </w:r>
    </w:p>
    <w:p>
      <w:pPr>
        <w:pStyle w:val="Normal"/>
        <w:widowControl w:val="false"/>
        <w:spacing w:lineRule="auto" w:line="240" w:before="1020" w:after="0"/>
        <w:ind w:left="450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ky-KG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y-KG"/>
        </w:rPr>
      </w:r>
    </w:p>
    <w:p>
      <w:pPr>
        <w:pStyle w:val="Normal"/>
        <w:spacing w:lineRule="auto" w:line="240" w:before="1020" w:after="0"/>
        <w:ind w:left="0" w:right="227" w:firstLine="709"/>
        <w:jc w:val="both"/>
        <w:rPr>
          <w:rFonts w:eastAsia="Times New Roman" w:cs="Times New Roman" w:ascii="Times New Roman" w:hAnsi="Times New Roman"/>
          <w:sz w:val="28"/>
          <w:szCs w:val="28"/>
          <w:lang w:val="ky-KG"/>
        </w:rPr>
      </w:pPr>
      <w:r>
        <w:rPr>
          <w:rFonts w:eastAsia="Times New Roman" w:cs="Times New Roman" w:ascii="Times New Roman" w:hAnsi="Times New Roman"/>
          <w:sz w:val="28"/>
          <w:szCs w:val="28"/>
          <w:lang w:val="ky-KG"/>
        </w:rPr>
        <w:t>31. К нарушениям электроснабжающей организацией порядка определения и применения платы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за присоединение </w:t>
      </w:r>
      <w:r>
        <w:rPr>
          <w:rFonts w:cs="Times New Roman" w:ascii="Times New Roman" w:hAnsi="Times New Roman"/>
          <w:sz w:val="28"/>
          <w:szCs w:val="28"/>
        </w:rPr>
        <w:t>приемников электрической энергии юридических и физических лиц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 </w:t>
      </w:r>
      <w:r>
        <w:rPr>
          <w:rFonts w:eastAsia="Times New Roman" w:cs="Times New Roman" w:ascii="Times New Roman" w:hAnsi="Times New Roman"/>
          <w:sz w:val="28"/>
          <w:szCs w:val="28"/>
          <w:lang w:val="ky-KG"/>
        </w:rPr>
        <w:t>относится:</w:t>
      </w:r>
    </w:p>
    <w:p>
      <w:pPr>
        <w:pStyle w:val="Normal"/>
        <w:spacing w:lineRule="auto" w:line="240" w:before="1020" w:after="0"/>
        <w:ind w:left="0" w:right="227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ky-KG"/>
        </w:rPr>
        <w:t>- завышение (занижение) установленного размера платы з</w:t>
      </w:r>
      <w:r>
        <w:rPr>
          <w:rFonts w:eastAsia="Times New Roman" w:cs="Times New Roman" w:ascii="Times New Roman" w:hAnsi="Times New Roman"/>
          <w:sz w:val="28"/>
          <w:szCs w:val="28"/>
        </w:rPr>
        <w:t>а присоединение объекта;</w:t>
      </w:r>
    </w:p>
    <w:p>
      <w:pPr>
        <w:pStyle w:val="Normal"/>
        <w:spacing w:lineRule="auto" w:line="240" w:before="1020" w:after="0"/>
        <w:ind w:left="0" w:right="227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применение непредусмотренных надбавок, наценок к установленным тарифам;</w:t>
      </w:r>
    </w:p>
    <w:p>
      <w:pPr>
        <w:pStyle w:val="Normal"/>
        <w:spacing w:lineRule="auto" w:line="240" w:before="1020" w:after="0"/>
        <w:ind w:left="0" w:right="227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включение в стоимость фактически не выполненных работ;</w:t>
      </w:r>
    </w:p>
    <w:p>
      <w:pPr>
        <w:pStyle w:val="Normal"/>
        <w:spacing w:lineRule="auto" w:line="240" w:before="1020" w:after="0"/>
        <w:ind w:left="0" w:right="227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преднамеренное завышение смет затрат при определении размера платы за подключение объекта;</w:t>
      </w:r>
    </w:p>
    <w:p>
      <w:pPr>
        <w:pStyle w:val="Normal"/>
        <w:spacing w:lineRule="auto" w:line="240" w:before="1020" w:after="0"/>
        <w:ind w:left="0" w:right="227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отсутствие раздельного учета затрат и доходов по регулируемой деятельности.</w:t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32. В случае нарушения </w:t>
      </w:r>
      <w:r>
        <w:rPr>
          <w:rFonts w:eastAsia="Times New Roman" w:cs="Times New Roman" w:ascii="Times New Roman" w:hAnsi="Times New Roman"/>
          <w:sz w:val="28"/>
          <w:szCs w:val="28"/>
          <w:lang w:val="ky-KG"/>
        </w:rPr>
        <w:t>электроснабжающей организацией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настоящих Методики и порядка, сумма незаконно полученного дохода, по решению уполномоченного органа по регулированию топливно-энергетического комплекса, подлежит перечислению в республиканский бюджет.</w:t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33. Решение уполномоченного государственного органа</w:t>
      </w:r>
      <w:r>
        <w:rPr>
          <w:rFonts w:eastAsia="Times New Roman" w:cs="Times New Roman" w:ascii="Times New Roman" w:hAnsi="Times New Roman"/>
          <w:sz w:val="28"/>
        </w:rPr>
        <w:t xml:space="preserve"> по регулированию топливно-энергетического комплекса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 перечислении незаконно полученного дохода электроснабжающей организацией может быть обжаловано в суде.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02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020" w:after="0"/>
        <w:ind w:left="0" w:right="0" w:firstLine="709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4"/>
      <w:jc w:val="center"/>
      <w:rPr>
        <w:rFonts w:cs="Times New Roman"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ab/>
      <w:tab/>
      <w:t>Директор_______________Н.Элебаев</w:t>
    </w:r>
  </w:p>
  <w:p>
    <w:pPr>
      <w:pStyle w:val="Style24"/>
      <w:jc w:val="center"/>
      <w:rPr>
        <w:rFonts w:cs="Times New Roman"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ab/>
      <w:tab/>
      <w:t>«_____»____________2015 года</w:t>
    </w:r>
  </w:p>
  <w:p>
    <w:pPr>
      <w:pStyle w:val="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4"/>
      <w:jc w:val="center"/>
      <w:rPr>
        <w:rFonts w:cs="Times New Roman"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ab/>
      <w:tab/>
      <w:t>Директор_______________Н.Элебаев</w:t>
    </w:r>
  </w:p>
  <w:p>
    <w:pPr>
      <w:pStyle w:val="Style24"/>
      <w:jc w:val="center"/>
      <w:rPr>
        <w:rFonts w:cs="Times New Roman"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ab/>
      <w:tab/>
      <w:t>«_____»____________2015 года</w:t>
    </w:r>
  </w:p>
  <w:p>
    <w:pPr>
      <w:pStyle w:val="Normal"/>
      <w:rPr>
        <w:sz w:val="2"/>
        <w:szCs w:val="2"/>
      </w:rPr>
    </w:pPr>
    <w:r>
      <w:rPr>
        <w:sz w:val="2"/>
        <w:szCs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1068" w:hanging="360"/>
      </w:pPr>
    </w:lvl>
    <w:lvl w:ilvl="1">
      <w:start w:val="5"/>
      <w:numFmt w:val="decimal"/>
      <w:lvlText w:val="%2"/>
      <w:lvlJc w:val="left"/>
      <w:pPr>
        <w:ind w:left="2178" w:hanging="1470"/>
      </w:pPr>
    </w:lvl>
    <w:lvl w:ilvl="2">
      <w:start w:val="1"/>
      <w:numFmt w:val="decimal"/>
      <w:lvlText w:val="%3"/>
      <w:lvlJc w:val="left"/>
      <w:pPr>
        <w:ind w:left="2178" w:hanging="1470"/>
      </w:pPr>
    </w:lvl>
    <w:lvl w:ilvl="3">
      <w:start w:val="1"/>
      <w:numFmt w:val="decimal"/>
      <w:lvlText w:val="%4"/>
      <w:lvlJc w:val="left"/>
      <w:pPr>
        <w:ind w:left="2178" w:hanging="1470"/>
      </w:pPr>
    </w:lvl>
    <w:lvl w:ilvl="4">
      <w:start w:val="1"/>
      <w:numFmt w:val="decimal"/>
      <w:lvlText w:val="%5"/>
      <w:lvlJc w:val="left"/>
      <w:pPr>
        <w:ind w:left="2178" w:hanging="1470"/>
      </w:pPr>
    </w:lvl>
    <w:lvl w:ilvl="5">
      <w:start w:val="1"/>
      <w:numFmt w:val="decimal"/>
      <w:lvlText w:val="%6"/>
      <w:lvlJc w:val="left"/>
      <w:pPr>
        <w:ind w:left="2178" w:hanging="1470"/>
      </w:pPr>
    </w:lvl>
    <w:lvl w:ilvl="6">
      <w:start w:val="1"/>
      <w:numFmt w:val="decimal"/>
      <w:lvlText w:val="%7"/>
      <w:lvlJc w:val="left"/>
      <w:pPr>
        <w:ind w:left="2508" w:hanging="1800"/>
      </w:pPr>
    </w:lvl>
    <w:lvl w:ilvl="7">
      <w:start w:val="1"/>
      <w:numFmt w:val="decimal"/>
      <w:lvlText w:val="%8"/>
      <w:lvlJc w:val="left"/>
      <w:pPr>
        <w:ind w:left="2508" w:hanging="1800"/>
      </w:pPr>
    </w:lvl>
    <w:lvl w:ilvl="8">
      <w:start w:val="1"/>
      <w:numFmt w:val="decimal"/>
      <w:lvlText w:val="%9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unhideWhenUsed="0" w:semiHidden="0" w:qFormat="1" w:uiPriority="10" w:name="Title"/>
    <w:lsdException w:uiPriority="1" w:name="Default Paragraph Font"/>
    <w:lsdException w:uiPriority="0" w:name="Body Tex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2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semiHidden/>
    <w:link w:val="a3"/>
    <w:rsid w:val="008e2113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Верхний колонтитул Знак"/>
    <w:link w:val="a6"/>
    <w:rsid w:val="008e2113"/>
    <w:basedOn w:val="DefaultParagraphFont"/>
    <w:rPr>
      <w:rFonts w:ascii="Calibri" w:hAnsi="Calibri" w:eastAsia="Times New Roman" w:cs="Times New Roman"/>
      <w:sz w:val="36"/>
      <w:szCs w:val="36"/>
      <w:lang w:val="en-US" w:eastAsia="en-NZ"/>
    </w:rPr>
  </w:style>
  <w:style w:type="character" w:styleId="Style16" w:customStyle="1">
    <w:name w:val="Основной текст_"/>
    <w:link w:val="1"/>
    <w:rsid w:val="008e211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2" w:customStyle="1">
    <w:name w:val="Основной текст (2)_"/>
    <w:link w:val="20"/>
    <w:rsid w:val="008e211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" w:customStyle="1">
    <w:name w:val="Заголовок №1_"/>
    <w:link w:val="11"/>
    <w:rsid w:val="008e211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7" w:customStyle="1">
    <w:name w:val="Нижний колонтитул Знак"/>
    <w:uiPriority w:val="99"/>
    <w:link w:val="a9"/>
    <w:rsid w:val="008e2113"/>
    <w:basedOn w:val="DefaultParagraphFont"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styleId="12" w:customStyle="1">
    <w:name w:val="Заголовок №1 (2)_"/>
    <w:link w:val="120"/>
    <w:rsid w:val="008e211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21" w:customStyle="1">
    <w:name w:val="Заголовок №1 (2) + Полужирный"/>
    <w:rsid w:val="008e2113"/>
    <w:rPr>
      <w:rFonts w:ascii="Times New Roman" w:hAnsi="Times New Roman" w:eastAsia="Times New Roman" w:cs="Times New Roman"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ListLabel1">
    <w:name w:val="ListLabel 1"/>
    <w:rPr>
      <w:b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semiHidden/>
    <w:unhideWhenUsed/>
    <w:link w:val="a4"/>
    <w:rsid w:val="008e2113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e2113"/>
    <w:basedOn w:val="Normal"/>
    <w:pPr>
      <w:spacing w:before="0" w:after="200"/>
      <w:ind w:left="720" w:right="0" w:hanging="0"/>
      <w:contextualSpacing/>
    </w:pPr>
    <w:rPr/>
  </w:style>
  <w:style w:type="paragraph" w:styleId="Style23">
    <w:name w:val="Верхний колонтитул"/>
    <w:link w:val="a7"/>
    <w:rsid w:val="008e2113"/>
    <w:basedOn w:val="Normal"/>
    <w:pPr>
      <w:keepLines/>
      <w:tabs>
        <w:tab w:val="center" w:pos="4153" w:leader="none"/>
        <w:tab w:val="right" w:pos="8306" w:leader="none"/>
      </w:tabs>
      <w:spacing w:lineRule="auto" w:line="240" w:before="0" w:after="0"/>
      <w:jc w:val="center"/>
    </w:pPr>
    <w:rPr>
      <w:rFonts w:ascii="Calibri" w:hAnsi="Calibri" w:eastAsia="Times New Roman" w:cs="Times New Roman"/>
      <w:sz w:val="36"/>
      <w:szCs w:val="36"/>
      <w:lang w:val="en-US" w:eastAsia="en-NZ"/>
    </w:rPr>
  </w:style>
  <w:style w:type="paragraph" w:styleId="21" w:customStyle="1">
    <w:name w:val="Основной текст (2)"/>
    <w:link w:val="2"/>
    <w:rsid w:val="008e2113"/>
    <w:basedOn w:val="Normal"/>
    <w:pPr>
      <w:widowControl w:val="false"/>
      <w:shd w:fill="FFFFFF" w:val="clear"/>
      <w:spacing w:lineRule="exact" w:line="480" w:before="1020" w:after="480"/>
      <w:jc w:val="right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11" w:customStyle="1">
    <w:name w:val="Основной текст1"/>
    <w:link w:val="a8"/>
    <w:rsid w:val="008e2113"/>
    <w:basedOn w:val="Normal"/>
    <w:pPr>
      <w:widowControl w:val="false"/>
      <w:shd w:fill="FFFFFF" w:val="clear"/>
      <w:spacing w:lineRule="exact" w:line="317" w:before="0" w:after="0"/>
      <w:ind w:left="0" w:right="0" w:hanging="1680"/>
    </w:pPr>
    <w:rPr>
      <w:rFonts w:ascii="Times New Roman" w:hAnsi="Times New Roman" w:eastAsia="Times New Roman" w:cs="Times New Roman"/>
      <w:sz w:val="27"/>
      <w:szCs w:val="27"/>
    </w:rPr>
  </w:style>
  <w:style w:type="paragraph" w:styleId="13" w:customStyle="1">
    <w:name w:val="Заголовок №1"/>
    <w:link w:val="10"/>
    <w:rsid w:val="008e2113"/>
    <w:basedOn w:val="Normal"/>
    <w:pPr>
      <w:widowControl w:val="false"/>
      <w:shd w:fill="FFFFFF" w:val="clear"/>
      <w:spacing w:lineRule="exact" w:line="475" w:before="420" w:after="420"/>
      <w:ind w:left="0" w:right="0" w:hanging="340"/>
      <w:outlineLvl w:val="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Style24">
    <w:name w:val="Нижний колонтитул"/>
    <w:uiPriority w:val="99"/>
    <w:unhideWhenUsed/>
    <w:link w:val="aa"/>
    <w:rsid w:val="008e2113"/>
    <w:basedOn w:val="Normal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paragraph" w:styleId="122" w:customStyle="1">
    <w:name w:val="Заголовок №1 (2)"/>
    <w:link w:val="12"/>
    <w:rsid w:val="008e2113"/>
    <w:basedOn w:val="Normal"/>
    <w:pPr>
      <w:widowControl w:val="false"/>
      <w:shd w:fill="FFFFFF" w:val="clear"/>
      <w:spacing w:lineRule="auto" w:before="420" w:after="240"/>
      <w:outlineLvl w:val="0"/>
    </w:pPr>
    <w:rPr>
      <w:rFonts w:ascii="Times New Roman" w:hAnsi="Times New Roman" w:eastAsia="Times New Roman" w:cs="Times New Roman"/>
      <w:sz w:val="27"/>
      <w:szCs w:val="27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2015-04-28T04:59:00Z</dcterms:created>
  <dc:creator>Admin</dc:creator>
  <dc:language>ru-RU</dc:language>
  <cp:lastModifiedBy>Admin</cp:lastModifiedBy>
  <cp:lastPrinted>2015-04-28T09:18:00Z</cp:lastPrinted>
  <dcterms:modified xsi:type="dcterms:W3CDTF">2015-06-15T14:48:00Z</dcterms:modified>
  <cp:revision>12</cp:revision>
</cp:coreProperties>
</file>